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48"/>
        <w:gridCol w:w="1697"/>
        <w:gridCol w:w="1781"/>
        <w:gridCol w:w="3079"/>
      </w:tblGrid>
      <w:tr>
        <w:trPr/>
        <w:tc>
          <w:tcPr>
            <w:tcW w:w="364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7"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781"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48" w:type="dxa"/>
            <w:tcBorders/>
            <w:vAlign w:val="center"/>
          </w:tcPr>
          <w:p>
            <w:pPr>
              <w:pStyle w:val="TableContents"/>
              <w:bidi w:val="0"/>
              <w:spacing w:before="0" w:after="0"/>
              <w:jc w:val="left"/>
              <w:rPr/>
            </w:pPr>
            <w:hyperlink r:id="rId3">
              <w:r>
                <w:rPr>
                  <w:rStyle w:val="InternetLink"/>
                </w:rPr>
                <w:t>0001541157</w:t>
              </w:r>
            </w:hyperlink>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Celsus Therapeutics Plc.</w:t>
                  </w:r>
                </w:p>
              </w:tc>
            </w:tr>
            <w:tr>
              <w:trPr/>
              <w:tc>
                <w:tcPr>
                  <w:tcW w:w="321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Morria Biopharmaceuticals PLC</w:t>
                  </w:r>
                </w:p>
              </w:tc>
            </w:tr>
          </w:tbl>
          <w:p>
            <w:pPr>
              <w:pStyle w:val="TableContents"/>
              <w:bidi w:val="0"/>
              <w:spacing w:before="0" w:after="283"/>
              <w:jc w:val="left"/>
              <w:rPr/>
            </w:pPr>
            <w:r>
              <w:rPr/>
            </w:r>
          </w:p>
        </w:tc>
        <w:tc>
          <w:tcPr>
            <w:tcW w:w="3478"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31"/>
              <w:gridCol w:w="3091"/>
            </w:tblGrid>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0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9" w:type="dxa"/>
            <w:vMerge w:val="restart"/>
            <w:tcBorders/>
          </w:tcPr>
          <w:p>
            <w:pPr>
              <w:pStyle w:val="TableContents"/>
              <w:bidi w:val="0"/>
              <w:spacing w:before="0" w:after="283"/>
              <w:jc w:val="left"/>
              <w:rPr/>
            </w:pPr>
            <w:r>
              <w:rPr/>
              <w:br/>
              <w:t>Public Limited Company</w:t>
            </w:r>
          </w:p>
        </w:tc>
      </w:tr>
      <w:tr>
        <w:trPr/>
        <w:tc>
          <w:tcPr>
            <w:tcW w:w="364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478" w:type="dxa"/>
            <w:gridSpan w:val="2"/>
            <w:vMerge w:val="continue"/>
            <w:tcBorders/>
          </w:tcPr>
          <w:p>
            <w:pPr>
              <w:pStyle w:val="Normal"/>
              <w:bidi w:val="0"/>
              <w:jc w:val="left"/>
              <w:rPr/>
            </w:pPr>
            <w:r>
              <w:rPr/>
            </w:r>
          </w:p>
        </w:tc>
        <w:tc>
          <w:tcPr>
            <w:tcW w:w="3079" w:type="dxa"/>
            <w:vMerge w:val="continue"/>
            <w:tcBorders/>
          </w:tcPr>
          <w:p>
            <w:pPr>
              <w:pStyle w:val="Normal"/>
              <w:bidi w:val="0"/>
              <w:jc w:val="left"/>
              <w:rPr/>
            </w:pPr>
            <w:r>
              <w:rPr/>
            </w:r>
          </w:p>
        </w:tc>
      </w:tr>
      <w:tr>
        <w:trPr/>
        <w:tc>
          <w:tcPr>
            <w:tcW w:w="364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478" w:type="dxa"/>
            <w:gridSpan w:val="2"/>
            <w:vMerge w:val="continue"/>
            <w:tcBorders/>
          </w:tcPr>
          <w:p>
            <w:pPr>
              <w:pStyle w:val="Normal"/>
              <w:bidi w:val="0"/>
              <w:jc w:val="left"/>
              <w:rPr/>
            </w:pPr>
            <w:r>
              <w:rPr/>
            </w:r>
          </w:p>
        </w:tc>
        <w:tc>
          <w:tcPr>
            <w:tcW w:w="3079" w:type="dxa"/>
            <w:vMerge w:val="continue"/>
            <w:tcBorders/>
          </w:tcPr>
          <w:p>
            <w:pPr>
              <w:pStyle w:val="Normal"/>
              <w:bidi w:val="0"/>
              <w:jc w:val="left"/>
              <w:rPr/>
            </w:pPr>
            <w:r>
              <w:rPr/>
            </w:r>
          </w:p>
        </w:tc>
      </w:tr>
      <w:tr>
        <w:trPr/>
        <w:tc>
          <w:tcPr>
            <w:tcW w:w="364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478" w:type="dxa"/>
            <w:gridSpan w:val="2"/>
            <w:vMerge w:val="continue"/>
            <w:tcBorders/>
          </w:tcPr>
          <w:p>
            <w:pPr>
              <w:pStyle w:val="Normal"/>
              <w:bidi w:val="0"/>
              <w:jc w:val="left"/>
              <w:rPr/>
            </w:pPr>
            <w:r>
              <w:rPr/>
            </w:r>
          </w:p>
        </w:tc>
        <w:tc>
          <w:tcPr>
            <w:tcW w:w="3079" w:type="dxa"/>
            <w:vMerge w:val="continue"/>
            <w:tcBorders/>
          </w:tcPr>
          <w:p>
            <w:pPr>
              <w:pStyle w:val="Normal"/>
              <w:bidi w:val="0"/>
              <w:jc w:val="left"/>
              <w:rPr/>
            </w:pPr>
            <w:r>
              <w:rPr/>
            </w:r>
          </w:p>
        </w:tc>
      </w:tr>
      <w:tr>
        <w:trPr/>
        <w:tc>
          <w:tcPr>
            <w:tcW w:w="364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3478" w:type="dxa"/>
            <w:gridSpan w:val="2"/>
            <w:vMerge w:val="continue"/>
            <w:tcBorders/>
          </w:tcPr>
          <w:p>
            <w:pPr>
              <w:pStyle w:val="Normal"/>
              <w:bidi w:val="0"/>
              <w:jc w:val="left"/>
              <w:rPr/>
            </w:pPr>
            <w:r>
              <w:rPr/>
            </w:r>
          </w:p>
        </w:tc>
        <w:tc>
          <w:tcPr>
            <w:tcW w:w="3079" w:type="dxa"/>
            <w:vMerge w:val="continue"/>
            <w:tcBorders/>
          </w:tcPr>
          <w:p>
            <w:pPr>
              <w:pStyle w:val="Normal"/>
              <w:bidi w:val="0"/>
              <w:jc w:val="left"/>
              <w:rPr/>
            </w:pPr>
            <w:r>
              <w:rPr/>
            </w:r>
          </w:p>
        </w:tc>
      </w:tr>
      <w:tr>
        <w:trPr/>
        <w:tc>
          <w:tcPr>
            <w:tcW w:w="5345"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781" w:type="dxa"/>
            <w:tcBorders/>
          </w:tcPr>
          <w:p>
            <w:pPr>
              <w:pStyle w:val="TableContents"/>
              <w:bidi w:val="0"/>
              <w:spacing w:before="0" w:after="283"/>
              <w:jc w:val="left"/>
              <w:rPr>
                <w:sz w:val="4"/>
                <w:szCs w:val="4"/>
              </w:rPr>
            </w:pPr>
            <w:r>
              <w:rPr>
                <w:sz w:val="4"/>
                <w:szCs w:val="4"/>
              </w:rPr>
            </w:r>
          </w:p>
        </w:tc>
        <w:tc>
          <w:tcPr>
            <w:tcW w:w="3079" w:type="dxa"/>
            <w:vMerge w:val="continue"/>
            <w:tcBorders/>
          </w:tcPr>
          <w:p>
            <w:pPr>
              <w:pStyle w:val="Normal"/>
              <w:bidi w:val="0"/>
              <w:jc w:val="left"/>
              <w:rPr/>
            </w:pPr>
            <w:r>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3079"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3300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 274-7510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Gaslightwala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Abizer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and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Farag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Kameel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Interim 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Bazemore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Hoyoung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Sandip</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 East Jackson, Street Suite 3300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2026-05-20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(ADSs), each representing 80,000 Ordinary Shares</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Paulson Investment Company,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000005670</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150 2nd Avenue, North</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1550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Petersburg</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33701</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r>
            <w:tr>
              <w:trPr/>
              <w:tc>
                <w:tcPr>
                  <w:tcW w:w="127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1,833,333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3,666,667</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of ADSs, Pre-Funded Warrants, Series H, I and J Warrants, each convertible into one ADS for $5,500,000. Approximately $1,833,333 raised to date. The issuance of Series Warrants are subject to shareholder approval.</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Paulson is also entitled to a fee equal to 2.0% of the gross proceeds, a non-accountable expense of $15,000, and 117,647 Placement Agent ADSs. The issuance of the Placement Agent ADSs are subject to receipt of shareholder approval.</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intends to use the net proceeds for working capital and general corporate purposes.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58"/>
        <w:gridCol w:w="2086"/>
        <w:gridCol w:w="1882"/>
        <w:gridCol w:w="3052"/>
        <w:gridCol w:w="1127"/>
      </w:tblGrid>
      <w:tr>
        <w:trPr>
          <w:tblHeader w:val="true"/>
        </w:trPr>
        <w:tc>
          <w:tcPr>
            <w:tcW w:w="205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8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05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2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5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Akari Therapeutics Plc</w:t>
            </w:r>
          </w:p>
        </w:tc>
        <w:tc>
          <w:tcPr>
            <w:tcW w:w="208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Abizer Gaslightwala</w:t>
            </w:r>
          </w:p>
        </w:tc>
        <w:tc>
          <w:tcPr>
            <w:tcW w:w="18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Abizer Gaslightwala</w:t>
            </w:r>
          </w:p>
        </w:tc>
        <w:tc>
          <w:tcPr>
            <w:tcW w:w="305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 and President</w:t>
            </w:r>
          </w:p>
        </w:tc>
        <w:tc>
          <w:tcPr>
            <w:tcW w:w="112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2026-06-03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41157"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1761</Words>
  <Characters>10048</Characters>
  <CharactersWithSpaces>11410</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