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Farag Kameel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Akari Therapeutics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AKTX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AKARI THERAPEUTICS PLC</w:t>
      </w:r>
    </w:p>
    <w:p>
      <w:pPr>
        <w:spacing w:after="0" w:line="93" w:lineRule="exact"/>
        <w:rPr>
          <w:sz w:val="24"/>
          <w:szCs w:val="24"/>
          <w:color w:val="auto"/>
        </w:rPr>
      </w:pPr>
    </w:p>
    <w:p>
      <w:pPr>
        <w:ind w:left="140" w:right="1597"/>
        <w:spacing w:after="0" w:line="275" w:lineRule="auto"/>
        <w:rPr>
          <w:sz w:val="20"/>
          <w:szCs w:val="20"/>
          <w:color w:val="auto"/>
        </w:rPr>
      </w:pPr>
      <w:r>
        <w:rPr>
          <w:rFonts w:ascii="Times New Roman" w:cs="Times New Roman" w:eastAsia="Times New Roman" w:hAnsi="Times New Roman"/>
          <w:sz w:val="20"/>
          <w:szCs w:val="20"/>
          <w:color w:val="0000FF"/>
        </w:rPr>
        <w:t>401 EAST JACKSON STREET, SUITE 3300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4"/>
              </w:rPr>
              <w:t>TAMPAFL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33602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Abizer Gaslightwala, as</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and any of Abizer Gaslightwala, Gary Emmanuel and Winthrop Rutherfurd, signing SINGLY, the undersigned’s true and lawful attorney-in-fact to:</w:t>
      </w:r>
    </w:p>
    <w:p>
      <w:pPr>
        <w:jc w:val="both"/>
        <w:ind w:right="20" w:firstLine="720"/>
        <w:spacing w:after="0" w:line="255" w:lineRule="auto"/>
        <w:tabs>
          <w:tab w:leader="none" w:pos="10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or holder of 10% or more of the registered class of securities of Akari Therapeutics,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07" w:lineRule="exact"/>
        <w:rPr>
          <w:rFonts w:ascii="Times New Roman" w:cs="Times New Roman" w:eastAsia="Times New Roman" w:hAnsi="Times New Roman"/>
          <w:sz w:val="20"/>
          <w:szCs w:val="20"/>
          <w:color w:val="auto"/>
        </w:rPr>
      </w:pPr>
    </w:p>
    <w:p>
      <w:pPr>
        <w:jc w:val="both"/>
        <w:ind w:firstLine="720"/>
        <w:spacing w:after="0" w:line="266" w:lineRule="auto"/>
        <w:tabs>
          <w:tab w:leader="none" w:pos="101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01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substitute or substitutes, of, for and on behalf of the undersigned, shall lawfully do or cause to be done by virtue of this Power of Attorney. This Power of Attorney shall remain in full force and effect until revoked by the undersigned in a signed writing delivered to such attorneys-in-fact.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22nd day of October,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Kameel Farag</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Kameel Farag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75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93620" TargetMode="External"/><Relationship Id="rId11" Type="http://schemas.openxmlformats.org/officeDocument/2006/relationships/hyperlink" Target="http://www.sec.gov/cgi-bin/browse-edgar?action=getcompany&amp;CIK=00015411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2025-10-24T08:19:25Z</dcterms:created>
  <dcterms:modified xsi:type="dcterms:W3CDTF">2025-10-24T08:19:25Z</dcterms:modified>
</cp:coreProperties>
</file>