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a.htm"/>
      <w:bookmarkStart w:id="1" w:name="ksforms3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333-297257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2</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36"/>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50" w:type="dxa"/>
        <w:jc w:val="left"/>
        <w:tblInd w:w="0" w:type="dxa"/>
        <w:tblLayout w:type="fixed"/>
        <w:tblCellMar>
          <w:top w:w="0" w:type="dxa"/>
          <w:left w:w="0" w:type="dxa"/>
          <w:bottom w:w="28" w:type="dxa"/>
          <w:right w:w="0" w:type="dxa"/>
        </w:tblCellMar>
      </w:tblPr>
      <w:tblGrid>
        <w:gridCol w:w="2495"/>
        <w:gridCol w:w="60"/>
        <w:gridCol w:w="2300"/>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England and Wales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2834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98-1034922</w:t>
            </w:r>
          </w:p>
        </w:tc>
      </w:tr>
      <w:tr>
        <w:trPr/>
        <w:tc>
          <w:tcPr>
            <w:tcW w:w="249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 xml:space="preserve">Classification Code)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401 East Jackson Street, Suite 3300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 274-7510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Gary Emmanuel,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 Rutherfurd,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Vanderbilt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801-9200</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35"/>
        <w:gridCol w:w="230"/>
        <w:gridCol w:w="2390"/>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 SUBJECT TO COMPLETION DATED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479,999,920,000 Ordinary Shares</w:t>
        <w:br/>
        <w:t>Represented by 5,999,999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shareholders identified in this prospectus, of up to an aggregate of 5,999,999 American Depositary Shares, or ADSs, representing up to an aggregate of 479,999,920,000 ordinary shares, par value $$0.000000005 per share, or ordinary shares, of Akari Therapeutics, Plc, or ordinary shares, consisting of (a) 264,099 ADSs issued to certain of the selling shareholders in a private placement, or the May Private Placement, pursuant to a securities purchase agreement, dated May 20, 2026, or the May SPA and Amendment No. 1 thereto dated June 23, 2026, by and among us and the investors listed therein, or Amendment No.1; (b) 1,206,489 ADSs issuable upon exercise of pre-funded warrants held by certain of the selling shareholders, which pre-funded warrants were issued in the May Private Placement pursuant to the May SPA, or the Pre-Funded Warrants; (c) 1,470,588 ADSs issuable upon exercise of Series H warrants held by certain of the selling shareholders, which warrants were issued in the May Private Placement pursuant to the May SPA, or the Series H Warrants; (d) 1,470,588 ADSs issuable upon exercise of Series I warrants held by certain of the selling shareholders, which warrants were issued in the May Private Placement pursuant to the May SPA, or the Series I Warrants; (e) 1,470,588 ADSs issuable upon exercise of Series J warrants held by certain of the selling shareholders, which warrants were issued in the May Private Placement pursuant to the May SPA, or the Series J Warrants; and (f) 117,647 ADSs issued to Paulson Investment Company, LLC, or Paulson, and its representatives pursuant to a placement agent agreement dated May 20, 2026, that we entered into with Paulson, or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are identified in the table commencing on page 7. Each ADS represents 80,000 ordinary shares. No ADSs are being registered hereunder for sale by us. We will not receive any proceeds from the sale of the ADSs by the selling shareholders. All net proceeds from the sale of the ordinary shares represented by ADSs covered by this prospectus will go to the selling shareholders. However, we may receive the proceeds from any exercise of warrants.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represented by ADSs from time to time in market transactions through any market on which our ADSs are then traded, in negotiated transactions or otherwise, and at prices and on terms that will be determined by the then prevailing market price or at negotiated prices directly or through a broker or brokers, who may act as agent or as principal or by a combination of such methods of sale.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symbol “AKTX.” On July 9, 2026, the closing price of our ADSs on the Nasdaq Capital Market was $13.16 per ADS.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a high degree of risk. Please carefully consider the risks discussed in this prospectus under “Risk Factors” beginning on page 3 and in our reports filed with the Securities and Exchange Commission, which are incorporated by reference herein for a discussion of information that should be considered in connection with an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or other foreign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4565"/>
        <w:gridCol w:w="245"/>
      </w:tblGrid>
      <w:tr>
        <w:trPr/>
        <w:tc>
          <w:tcPr>
            <w:tcW w:w="45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5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5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5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Note Regarding Forward-Looking Statements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5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45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Selling Shareholders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5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Share Capital and Articles of Association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5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American Depositary Shares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45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45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45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45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Enforcement of Foreign Judgments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As permitted by the rules and regulations of the SEC, the registration statement filed by us includes additional information not contained in this prospectus. You may read the registration statement and the other reports we file with the SEC at the SEC’s website or its offices described below under the heading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is contained in this prospectus or that is incorporated by reference into this prospectus. We have not authorized anyone to provide you with information that is in addition to or different from that contained in, or incorporated by reference into, this prospectus. If anyone provides you with different or inconsistent information, you should not rely on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nor is it seeking an offer to buy, these securities in any state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 Our business, financial condition, results of operations, and prospects may have changed since that date. We do not take any responsibility for, nor do we provide any assurance as to the reliability of, any information other than the information in this prospectus. Neither the delivery of this prospectus nor the sale of the ADSs means that information contained in this prospectus is correct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unless otherwise designated, the terms “we,” “us,” “our,” “Akari,” “the Company” and “our Company” refer to Akari Therapeutics, Plc and its wholly-owned subsidiaries. References to “ordinary shares,” “ADSs,” and “share capital” refer to the ordinary shares, ADSs, and share capital, respectively, of Akari.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data and forecasts used in, or incorporated by reference in,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our estimates involve risks and uncertainties and are subject to change based on various factors, including those discussed under the heading “Risk Factors” in this prospectus. Our historical results do not necessarily indicate our expected results for any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included in this prospectus have been subject to rounding adjustments. Accordingly, figures shown as totals in certain tables may not be an arithmetic aggregation of the figures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statistical data, market data and other industry data and forecasts used in this prospectus and in our SEC filings incorporated herein by reference from publicly available information. We have not sought the consent of the sources to refer to the publicly available reports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this prospectus outside of the United States.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securities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oncology company developing next-generation antibody-drug conjugates, or ADCs, designed around novel proprietary cancer-killing toxins, or payloads. We believe these novel payloads may have the potential to transform the efficacy and safety outcomes of ADCs as cancer therapies beyond options that are currently available or in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Folate Receptor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differentiated ADC discovery and development platform, or our ADC Platform, enables us to generate a range of ADC product candidates that pair our novel payloads with biologically validated antibody targets prevalent in cancer tumors. Our lead payload, PH1, has demonstrated multiple modes of action in preclinical studies, including direct cytotoxicity and activation of the immune system through neoantigen formation. We believe that our focus on the development of ADCs that utilize our novel payloads may allow us to develop ADCs with benefits that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effective cancer-killing properties, or cytotoxicity;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generation of greater numbers of neoepitopes than currently available ADCs, leading to activation of both B-cells and T-cells in the tumor microenvironment to generate an immune response that has the potential to continue to kill cancer cells in the tumor microenvironment and throughout the body;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be used in combination with checkpoint inhibitors to potentially deliver synergistic efficacy results (more than additive);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sustained duration of response of tumor regression or elimination;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tumor resistance;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safety and tolerability relative to ADCs that are currently available.</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is AKTX-101, a preclinical stage Trop2-targeting ADC that combines PH1 with a proprietary antibody and linker construct designed to deliver the payload directly to tumor cells with minimal off-target effects. Trop-2 is expressed in a broad range of solid tumors, including lung, breast, bladder, gastric and pancreatic cancers. We are advancing AKTX-101 through IND-enabling studies with the goal of initiating a first-in-human Phase 1 clinical trial by mid-2027. In addition, we have expanded our PH1-based pipeline with AKTX-102, a CEACAM5-directed ADC program that combines a novel CEACAM5-targeting antibody construct with PH1, reflecting the scope of our research capabilities, and the potential of our PH1 payload to be designed into novel ADC candidates while we prioritize resources on the lead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since inception have consisted of performing research and development activities and raising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May SPA with certain of the selling shareholders pursuant to which we agreed to sell and issue in a private placement an aggregate of: (i) 264,099 ADSs, (ii) Pre-Funded Warrants to purchase up to 1,206,489 ADSs; (iii) Series H Warrants to purchase up to 1,470,588 ADSs; (iv) Series I Warrants to purchase up to 1,470,588 ADSs; and (v) Series J Warrants to purchase up to 1,470,588 ADSs. The Series H Warrants, Series I Warrants, and Series J Warrants were issued following receipt of the requisite shareholder approval in accordance with the terms of the May SPA, in each case at a price of $3.74 per ADS and accompanying Series Warrants. The initial closing of the May Private Placement occurred on 27 May 2026, and the second and third closings contemplated under the May SPA were consolidated pursuant to Amendment No. 1 and completed on June 26,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May SPA also contains representations, warranties, indemnification and other provisions customary for transactions of this nature. Pursuant to the May SPA, we agreed to prepare and file a registration statement with the SEC to register the resale of the ADSs (including ADSs issuable upon exercise of the Pre-Funded Warrants, Series H Warrants, Series I Warrants, Series J Warrants, or collectively, the Warrants) purchased pursuant to the May SPA.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terms of the May SPA and the Warrants are subject to, and qualified in their entirety to the full text of the May SPA, the Pre-Funded Warrant, the Series H Warrant, the Series I Warrant, and the Series J Warrant, which are filed as Exhibits 10.1 and 4.1, 4.2, 4.3, and 4.4 respectively, to a Current Report on Form 8-K filed with the SEC on May 20, 2026 and is incorporated by reference herein. The foregoing summary of the terms of Amendment No. 1 is subject to, and qualified in its entirety to the full text of the Amendment No. 1, which is filed as an exhibit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Paulson May Placement Agent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the May Placement Agent Agreement pursuant to which we agreed, among other things, to issue to Paulson and its representatives an aggregate of 117,647 ADSs as consideration for certain advisory services provided by Paulson in connection with the May Private Placement. These shares are also being registered 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 is located at 401 East Jackson Street, Suite 3300, Tampa, FL 33602, and our telephone number is (929) 274-7510. Our website address is www.akaritx.com.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set forth below and the risks described under “Risk Factors” in Item 1A of Part I of our Annual Report on Form 10-K for the fiscal year ended December 31, 2025, which is incorporated by reference in this prospectus, including our audited consolidated financial statements and the related notes, as updated by our subsequent quarterly reports on Form 10-Q and other reports and documents that are incorporated by reference into this prospectus. See the section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ADSs may be sold in this offering, which could cause the price of our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(i) 1,206,489 ADSs, representing 96,519,120,000 ordinary shares issued or issuable to certain of the selling shareholders pursuant to the May SPA, (ii) 1,470,588 ADSs, representing 117,647,040,000 ordinary shares, issuable upon the exercise of the Series H Warrants held by certain of the selling shareholders, (iii) 1,470,588 ADSs, representing 117,647,040,000 ordinary shares, issuable upon the exercise of the Series I Warrants held by certain of the selling shareholders, (iv) 1,470,588 ADSs, representing 117,647,040,000 ordinary shares, issuable upon the exercise of the Series J Warrants held by certain of the selling shareholders, (v) 264,099 ADSs, representing 21,127,920,000 ordinary shares, issued to certain of the selling shareholders under the May SPA, and (vi) 117,647 ADSs, representing 9,411,760,000 ordinary shares, issued to Paulson pursuant to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sale and any future sales of a substantial number of ADSs in the public market, or the perception that such sales may occur, could adversely affect the price of the ADSs on Nasdaq. We cannot predict the effect, if any, that market sales of those ADSs or the availability of those ADSs for sale will have on the market price of the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the ADSs by our existing shareholders in the public market could cause our share price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ADSs in the public market or the perception that these sales might occur, could significantly reduce the market price of our ADSs and impair our ability to raise adequate capital through the sale of additional equity securities.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forward-looking statements and readers are cautioned that our actual results may differ materially from those discussed in the forward-looking statements.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Words such as “may,” “anticipate,” “estimate,” “expects,” “projects,” “intends,” “plans,” “believes” and words and terms of similar substance used in connection with any discussion of future operating or financial performance, identify forward-looking statements. Forward-looking statements represent management’s present judgment regarding future events and are subject to a number of risks and uncertainties that could cause actual results to differ materially from those described in the forward- looking statements. Such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cannot give assurance of future revenues or operating profits;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fund our operations, and if we are unable to obtain such capital, we will be unable to successfully develop and commercialize any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initiated clinical studies for any of the programs in our active pipeline or entered into any strategic partnerships regarding the continued development of our legacy pipeline assets. As a result, it may be years before we commercialize a product candidate, if ever;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the commencement, enrollment or completion of clinical trials or we may fail to demonstrate safety and efficacy to the satisfaction of applicable regulatory authorities, which could prevent us from commercializing any product candidates we determine to develop on a timely basis, if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undesirable side effects, or other unexpected properties of our product candidates may be identified during development or after approval, which could lead to the discontinuation of our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ADC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initial, or preliminary results from our preclinical testing or clinical trials that we announce or publish from time to time may change as more patient data become available and are subject to additional audit, validation, and verification procedures that could result in material changes in the final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 future strategic partner may choose to, or may be required to, suspend, repeat, or terminate clinical trials of our assets if they are not conducted in accordance with regulatory requirements, the results are negative or inconclusive, or the trials are not well designed;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independent contractors, principal investigators, contract research organizations, consultants, vendors, and collaboration partners may engage in misconduct or other improper activities, including non-compliance with regulatory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competitive, and our product candidates may become obsolete;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sales, marketing, and distribution capabilities on our own or through collaborations with partners, we may not be successful in commercializing any approved drugs;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any of our current or future product candidates receive marketing approval, such product candidates may fail to achieve market acceptance by physicians, patients, third-party payors, or others in the medical community necessary for commercial success, in which case we may not generate significant revenues or become profitable;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commercialize any product candidate, the 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commercialize products in foreign markets, where we would be subject to additional regulatory burdens and other risks and uncertainties;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drug marketing and reimbursement regulations may materially affect our ability to market and receive coverage for our products in the EU Member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intellectual property and proprietary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supervise, and monitor our preclinical studies and clinical trials, and to manufacture our product candidates, and if those third parties perform in an unsatisfactory manner it may harm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 or high inflation;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associated with conducting business internationally;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Insiders own a significant amount of our outstanding shares, which could delay or prevent a change in corporate control or result in the entrenchment of management and/or our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and issuances of our ordinary shares or ADSs, or rights to purchase ordinary shares or ADSs pursuant to our equity incentive plans, could result in additional dilution;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fail to meet the requirements for continued listing on Nasdaq, causing our ADSs to be delisted;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shareholders may differ from the rights typically offered to shareholders of a U.S.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current expectations and beliefs concerning future developments and their potential effects on the Company.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in our periodic filings with the SEC. Our SEC filings are available publicly on the SEC website at www.sec.gov. Should one or more of these risks or uncertainties materialize, or should any of our assumptions prove incorrect, actual results may vary in material respects from those projected in these forward-looking statements. Accordingly, forward-looking statements in this prospectus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ordinary shares represented by ADSs by the selling shareholders. All net proceeds from the sale of the ordinary shares represented by ADSs covered by this prospectus will go to the selling shareholders. We expect that the selling shareholders will sell their ordinary shares represented by ADSs as described under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proceeds from the exercise of the Warrants. If all of the Warrants mentioned above were exercised for cash in full, the proceeds would be approximately $16.5 million. We intend to use the net proceeds of such warrant exercises, if any, for research and development, general and administrative expenses, and for working capital purposes. Pending such uses, we intend to invest the net proceeds in short-term, interest-bearing, investment grade securities or as otherwise pursuant to our customary investment policies.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represented by ADSs being offered by the selling shareholders are those ordinary shares represented by ADSs and those ordinary shares represented by ADSs issuable upon exercise of the Pre-Funded Warrants, Series H Warrants, Series I Warrants and Series J Warrants, each as issued in connection with the May Private Placement, and those ordinary shares represented by ADSs issued pursuant to the May Placement Agent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issuance of the ADSs and the Warrants, see “Prospectus Summary – May 2026 Private Placement,” and “Prospectus Summary– Paulson May Placement Agent Agreement” above. We are registering the ordinary shares represented by ADSs in order to permit the selling shareholders to offer the ordinary shares represented by ADSs for resale from time to time. The selling shareholders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ordinary shares represented by ADSs by each of the selling shareholders. The second column lists the number of ordinary shares represented by ADSs beneficially owned by each selling shareholder, based on its ownership of ADSs and Warrants as of June 30, 2026, assuming exercise of the Warrants held by the selling shareholders on that date, without regard to any limitations on conversions or exercises. The third column lists the maximum number of ordinary shares represented by ADSs being offered in this prospectus by the selling shareholders. The fourth and fifth columns list the amount of ordinary shares represented by ADSs owned after the offering, by number of ordinary shares represented by ADSs and percentage of outstanding ordinary shares, assuming in both cases the sale of all of the ordinary shares represented by ADSs offered by the selling shareholders pursuant to this prospectus, and without regard to any limitations on conversions or exercises.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 selling shareholder may not exercise such warrants to the extent the exercise would cause such selling shareholder, together with its affiliates, to beneficially own a number of ordinary shares which would exceed 4.99% or 9.99% of our then outstanding ordinary shares following such exercise, excluding for purposes of such determination ordinary shares not yet issuable upon exercise of the Warrants which have not been exercised. The number of shares does not reflect this limitation. The selling shareholders may sell all, some or none of their ordinary shares represented by ADSs or warrants in this offering.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Warrants are not exercisable within 60 days and are therefore not beneficially owned by the selling shareholders who have been issued such Warrants. However, the shares issuable upon exercise of the Warrants are included in the chart below because they are being registered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shareholders may change over time. Any changed information will be set forth in an amendment to the registration statement or supplement to this prospectus, to the extent required by law. Unless otherwise noted below, the address of each selling shareholder listed on the table is c/o Akari Therapeutics, Plc, 401 East Jackson Street, Suite 3300, Tampa, FL 33602.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based on 140,032,769,533 ordinary shares outstanding on June 30, 2026.</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75"/>
        <w:gridCol w:w="60"/>
        <w:gridCol w:w="60"/>
        <w:gridCol w:w="1640"/>
        <w:gridCol w:w="60"/>
        <w:gridCol w:w="60"/>
        <w:gridCol w:w="60"/>
        <w:gridCol w:w="1640"/>
        <w:gridCol w:w="60"/>
        <w:gridCol w:w="60"/>
        <w:gridCol w:w="60"/>
        <w:gridCol w:w="1520"/>
        <w:gridCol w:w="60"/>
        <w:gridCol w:w="60"/>
        <w:gridCol w:w="204"/>
        <w:gridCol w:w="1095"/>
        <w:gridCol w:w="231"/>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Selling Shareholder</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Ordinary</w:t>
              <w:br/>
              <w:t>Shares Owned</w:t>
              <w:br/>
              <w:t>Prior to</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Maximum </w:t>
              <w:br/>
              <w:t>Number of</w:t>
              <w:br/>
              <w:t>Ordinary</w:t>
              <w:br/>
              <w:t>Shares to</w:t>
              <w:br/>
              <w:t>be Sold</w:t>
              <w:br/>
              <w:t>Pursuant</w:t>
              <w:br/>
              <w:t>to this</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Ordinary</w:t>
              <w:br/>
              <w:t>Shares Owned</w:t>
              <w:br/>
              <w:t>After the</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w:t>
              <w:br/>
              <w:t>Ordinary</w:t>
              <w:br/>
              <w:t>Shares Owned</w:t>
              <w:br/>
              <w:t>After the</w:t>
              <w:br/>
              <w:t>Offering</w:t>
            </w:r>
          </w:p>
        </w:tc>
        <w:tc>
          <w:tcPr>
            <w:tcW w:w="231"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Matthew Joseph Nachtrab Revocable Trust dtd 12/18/2014(1)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272,667,950,000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256,684,480,000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15,983,470,000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Thomas Mollick(2)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176,796,312,200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171,123,200,000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5,673,112,200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Eric Borell(3)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21,390,400,000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21,390,400,000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Paul and Mary Jo Arnold(4)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11,195,040,000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10,695,040,000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Donald Wojnowski(5)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16,504,427,700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15,144,400,000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1,360,027,700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Joe Nachtrab(6)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2,259,994,000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2,138,880,000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Amal Amin(7)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34,702,000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Christopher Clark(8)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462,796,400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111,409,400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Thomas Parigian(9)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408,049,400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56,689,400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Robert Setteducati(10)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408,049,400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56,689,400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Malcolm Alexander Winks(11)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230,293,400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18,533,400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Marta Wypych(12)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229,777,000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Paulson Investment Company, LLC(13)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1,700,482,500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472,242,500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504,429,447,000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479,999,920,000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24,429,527,000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15,983,470,000 ordinary shares represented by 199,791 ADSs issuable upon the exercise of warrants held prior to the May Private Placement, (ii) 252,855,760,000 ordinary shares represented by 3,160,697 ADSs issuable upon the exercise of Warrants granted in the May Private Placement, and (iii) 3,828,720,000 ordinary shares represented by 47,859 ADSs acquired in the May Private Placement. All warrants held by Matthew Joseph Nachtrab Revocable Trust dtd 12/18/14 are subject to a 9.99% beneficial ownership limitation. The address for the Matthew Joseph Nachtrab Revocable Trust dtd 12/18/14 is 116 Adalia Avenue, Tampa, Florida 33606</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5,673,112,200 ordinary shares represented by 70,911 ADSs issuable upon the exercise of warrants held prior to the May Private Placement, (ii) 164,519,120,000 ordinary shares represented by 2,056,489 ADSs issuable upon the exercise of Warrants granted in the May Private Placement, and (iii) 6,604,080,000 ordinary shares represented by 82,551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16,042,800,000 ordinary shares represented by 200,535 ADSs issuable upon the exercise of Warrants granted in the May Private Placement, and (ii) 5,347,600,000 ordinary shares represented by 66,845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500,000,000 ordinary shares represented by 6,250 ADSs issuable upon the exercise of warrants held prior to the May Private Placement, (ii) 8,021,280,000 ordinary shares represented by 100,266 ADSs issuable upon the exercise of Warrants granted in the May Private Placement, and (iii) 2,673,760,000 ordinary shares represented by 33,422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800,000,000 ordinary shares represented by 10,000 ADSs held prior to the May Private Placement, (ii) 560,027,700 ordinary shares represented by 6,998 ADSs issuable upon the exercise of warrants held prior to the May Private Placement, (iii) 6,417,120,000 ordinary shares represented by 80,214 ADSs issuable upon the exercise of Warrants granted in the May Private Placement, (iv) 2,139,040,000 ordinary shares represented by 26,738 ADSs acquired in the May Private Placement, and (v) 6,588,240,000 ordinary shares represented by 82,353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121,114,000 ordinary shares represented by 1,513 ADSs issuable upon the exercise of warrants held prior to the May Private Placement, (ii) 1,604,160,000 ordinary shares represented by 20,052 ADSs issuable upon the exercise of Warrants granted in the May Private Placement, (iii) 534,720,000 ordinary shares represented by 6,684 ADSs acquired in the May Private Placement.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21,280,000 ordinary shares represented by 266 ADSs held prior to the May Private Placement, (ii) 13,422,000 ordinary shares represented by 166 ADSs issuable upon the exercise of warrants held prior to the May Private Placement, and (iii) 141,200,000 ordinary shares represented by 1,765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54,720,000 ordinary shares represented by 684 ADSs held prior to the May Private Placement, (ii) 56,689,400 ordinary shares represented by 707 ADSs issuable upon the exercise of warrants held prior to the May Private Placement, and (iii)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56,689,400 ordinary shares represented by 707 ADSs issuable upon the exercise of warrants held prior to the May Private Placement, and (ii)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56,689,400 ordinary shares represented by 707 ADSs issuable upon the exercise of warrants held prior to the May Private Placement, and (ii) 351,360,000 ordinary shares represented by 4,392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18,533,400 ordinary shares represented by 230 ADSs issuable upon the exercise of warrants held prior to the May Private Placement, and (ii) 211,760,000 ordinary shares represented by 2,647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19,920,000 ordinary shares represented by 249 ADSs held prior to the May Private Placement, (ii) 21,617,000 ordinary shares represented by 268 ADSs issuable upon the exercise of warrants held prior to the May Private Placement, and (iii) 188,240,000 ordinary shares represented by 2,353 ADSs issued pursuant to the May Placement Agent Agreement.</w:t>
            </w:r>
          </w:p>
        </w:tc>
      </w:tr>
      <w:tr>
        <w:trPr/>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175,120,000 ordinary shares represented by 2,189 ADSs held prior to the May Private Placement, (ii) 297,122,500 ordinary shares represented by 3,710 ADSs issuable upon the exercise of warrants held prior to the May Private Placement, and (iii) 1,228,240,000 ordinary shares represented by 15,353 ADSs issued pursuant to the May Placement Agent Agreement.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Share Capital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include (a) our ordinary shares, par value $0.000000005 per share, and (b) our ADSs, each representing 80,000 ordinary shares. Our ordinary shares are registered under the Exchange Act not for trading, but only in connection with the listing of the ADSs on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under the trading symbol “AKTX.”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certain of the rights of (i) the holders of ordinary shares and (ii) ADS holders. Ordinary shares underlying the outstanding ADSs are held by Deutsche Bank Trust Company Americas, as depositary.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resolutions were passed by the Company’s shareholders at a general meeting on June 30, 2026 including in respect of a general authorization of our directors for the purposes of section 551 of the Companies Act 2006, a general and unconditional authority to allot shares in the Company and to grant rights to subscribe for or to convert any security into shares in the Company up to an aggregate nominal amount of $20,000 until June 30, 2030 (unless otherwise renewed, varied or revoked by the Company in general meeting) and (ii) empowering our directors pursuant to section 570 of the Companies Act 2006 to allot equity securities for cash pursuant to the section 551 authority referred to above as if the statutory preemption rights under section 561(1) of the Companies Act and any pre-emption rights in the Articles did not apply to such allotments for the same period. These resolutions revoked and replaced all prior unexercised authorities and powers to allot shares or disapply pre-emption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issued share capital was 140,032,769,533 with a nominal value of $0.000000005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Articles, the following summarizes the rights of holders of, and attaching to, the Company’s ordinary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the Company’s ordinary shares is entitled to one vote per ordinary share on all matters to be voted on by shareholders generally;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the Company’s ordinary shares shall be entitled to receive notice of, attend, speak and vote at the Company’s general meetings;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the Company’s ordinary shares are entitled to receive such dividends as are recommended by the directors and declared by the shareholders, to be justified by the distributable profits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certain key provisions of the Articles is set out below. The summary below is not a complete copy of the terms of the Articles. For further information, please refer to the full version of the Articles filed as Exhibit 3.1 to the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no specific restrictions on the Company’s purpose and therefore, by virtue of section 31(1) of the Companies Act 2006, the Company’s purpose is unrestricted.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among other things, provisions to the following effect: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currently consists of ordinary shares. The Board may, in accordance with section 551 of the Companies Act 2006, allot, grant options over, issue warrants to subscribe, offer or otherwise deal with or dispose of any shares of the Company to such persons, at such times and generally on such terms and conditions as they may determine, including issuing shares with such preferred or deferred rights as resolved by the Company in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These voting rights may be affected by the grant of any special voting rights to the holders of a class of shares with preferential rights that may be authorized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the Articles, whenever the Company’s share capital is divided into different classes of shares, all or any of the special rights or privileges attached to any class may be varied or abrogated with the consent in writing of the holders of at least three-fourths in nominal value of that class (excluding any shares of that class held as treasury shares) or with the sanction of a special resolution passed at a separate meeting of the holders of that class, but not otherwise. The quorum at any such meeting is two or more persons holding, or representing by proxy, at least one-third in nominal value of the issued shares in question.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declare dividends in respect of the profits of the Company available for distribution. The Board may, subject to the provisions of the Companies Act 2006 and the Articles, from time to time, pay to the members such interim dividends as appear to the Board to be justified by the distributable profits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which has remained unclaimed for a period of twelve (12) years from the date on which such dividend becomes due for payment will, if the Board so resolve, be forfeited and cease to remain owing by the Company and will from then on belong to the Company absolutely. No dividend will bear interest as against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whether the liquidation is voluntary, under supervision or by the court, the liquidator may, with the authority of a special resolution, divide among the members (excluding any holding shares or treasury shares) in specie the whole or part of the assets of the Company, whether or not the assets consist of property of one kind or of different kinds. For those purposes the liquidator may set such value as he deems fair upon any one or more class or classes of property and may determine how such division will be effected as between the members or different classes of members. If any such division is carried out otherwise than in accordance with the existing rights of the members, every member will have the same right of dissent and other ancillary rights as if such resolution were a special resolution passed in accordance with section 110, Insolvency Act 1986. The liquidator may, with the same authority, vest any part of the assets in trustees upon such trusts for the benefit of members as the liquidator, with the same authority, thinks fit and the liquidation of the Company may be closed and the Company dissolved. No member will be compelled to accept any shares in respect of which there is a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may transfer all or any of his or her shares which are in certificated form by means of an instrument of transfer in any usual form or in any other form which the Board may approve. The instrument must be executed by or on behalf of the transferor and (except in the case of a share which is fully paid up) by or on behalf of the transferee but need not be under seal.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Board may refuse to register a transfer or a certified share unless the instrument of transfer: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respect of only one class of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favor of not more than four joint transferees;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duly stamped (if required);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in compliance with all applicable rules and regulations;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lodged at our registered office or such other place as the Board may decide accompanied by the certificate for the shares to which it relates (except in the case of a transfer by a recognized person to whom no certificate was issued) and such other evidence (if any) as the Board may reasonably require to prove the title of the transferor and the due execution by him or her of the transfer or, if the transfer is executed by some other person on their behalf, the authority of that person to do so.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discretion and without giving any reasons, refuse to register any transfer of a certificated share which is not fully paid, but this discretion may not be exercised in such a way as to prevent dealings in the shares from taking place on an open and proper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rights of preemption under the Articles in respect of transfers of issued ordinary shares. In certain circumstances, our shareholders have preemptive rights with respect to new issuances of equity securities. As set out in the section “Issued Share Capital”, the shareholders have approved by resolution in general meeting or annual general meeting the disapplication of preemptive rights in connection with new issuances of equity securities up to certain authorized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accordance with the Companies Act 2006,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consolidate and divide all or any of our share capital into shares of larger nominal value than its existing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subdivide its shares, or any of them, into shares of smaller nominal value subject nevertheless to the Companies Act 2006 and all other statutes and secondary legislation for the time being in force relating to companies to the extent that they apply to us, or the Statutes, and reclassify them, and so that the resolution by which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we have power to attach to new shares;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special resolution reduce its share capital, any redenomination reserve, capital redemption reserve or share premium account, and (if permitted by the Statutes) any other non-distributable reserves in any manner authorized by the Statutes and diminish the amount of its share capital by the amount of the shares so cancelled.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categorized into three classes: Class A directors, appointed as director of the Company for a one-year term, Class B directors, appointed as director of the Company for a two-year term, and Class C directors, appointed as director of the Company for a three-year term (in each case subject to reappointment in accordance with the Articles). Unless otherwise determined by the Company in general meeting, the number of directors is not subject to a maximum but must not be fewer than three directors. The chairman of the board shall be elected by the shareholders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increase or reduce the number of directors and may also determine in what rotation such increased or reduced number is to go out of office. We may, by ordinary resolution, appoint any person to be a director, either to fill a casual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Board, in general meetings, each have power at any time, and from time to time, to appoint any person to be a director, either to fill a casual vacancy or as an additional director, but so that the total number of directors does not at any time exceed the maximum number, if any, fixed by or in accordance with the Articles at any time. Subject to the provisions of the Statutes and of the Articles, any director so appointed by the directors holds office only until the conclusion of the next following annual general meeting and is eligible for reappointment at that meeting. Any director who retires under this regulation is not taken into account in determining the directors who are to retire by rotation at such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shall retire at the next general meeting after the term of their office ends. A director retiring at a general meeting, if he or she is not re-appointed, retains office until the meeting appoints someone in their place or, if it does not do so, until the end of that meeting. Subject to the provisions of the Statutes, the directors to retire in every year include, so far as necessary to obtain the required number, any director who wishes to retire and not to offer himself or herself for re-election.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two year period, a majority of the directors must stand for re-election or replacement. In the event that this majority has not been met and the number of directors eligible for retirement by rotation under the provisions of the Articles are not met,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Proceedings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Board may regulate their proceedings as they deem appropriate. A director may, and the secretary at the request of a director shall, at any time call a meeting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necessary for the transaction of the business of the board may be fixed by the directors and, unless so fixed at any other number, is a majority of the board of directors, to include (except in respect of any matter on which he is not eligible to vote) the chairman of the board. A meeting of directors for the time being at which a quorum is present is competent to exercise all powers and discretions for the time being exercisable by the board. Questions arising at any meeting are determined by a majority of votes. In case of an equality of votes, the chairman shall have a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convene and hold annual general meetings once a year in accordance with the Companies Act 2006. Under the Companies Act 2006, an annual general meeting must be called by notice of at least 21 clear days and a general meeting must be called by notice of at least 14 clear days. The notice is exclusive of the day on which it is served, or deemed to be served, and of the day for which it is 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is present when the meeting proceeds to business, but the absence of a quorum shall not preclude the choice or appointment of a chairperson of the meeting, which shall not be treated as part of the business of the meeting. Save as otherwise provided by the Articles, two persons entitled to vote at the meeting each being a member or a proxy for a member or a representative of a corporation which is a member, duly appointed as such in accordance with the Statutes, holding in the aggregate at least one-third (33 1/3 percent) of our outstanding share capital, shall constitute a quorum. If at any time we only have one member, such member in person, by proxy or if a corporation by its representative, shall constitute a quorum.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Articles and the Companies Act 2006, the Board may: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all of our powers as a company to borrow money and to mortgage or charge its undertaking, property and uncalled capital, or any part of it, and subject to the provisions of the Statutes, to issue debentures and other securities whether outright or as collateral security for any debt, liability or obligation of ours or of any third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 or provide for the payment of any money to be borrowed or raised by a mortgage of or charge upon all or any part of the undertaking or property of ours, both present and future, and upon any capital remaining unpaid upon our shares whether called up or not, or by any other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confer upon any mortgagees or persons in whom any debenture or security is vested such rights and powers as they think necessary or expedient;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any of our property in trustees for the purpose of securing any money so borrowed or raised and confer upon the trustees, or any receiver to be appointed by them, or by any debenture holder, such rights and powers as the Board may think necessary or expedient in relation to the undertaking or our property or its management or realization, or the making, receiving, or enforcing of calls upon the members in respect of unpaid capital, and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and issue debentures to trustees for the purpose of further security and we may remunerate any such trustees;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security for the payment of any money payable by us in the same manner as for the payment of money borrowed or raised.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with the authority of an ordinary resolution of ours: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to capitalize any of our undivided profits (including profits standing to the credit of any reserve), whether or not they are available for distribution, or any sum standing to the credit of our share premium account, redenomination reserve or capital redemption reserve;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appropriate the profits or sum resolved to be capitalized to the members in proportion to the nominal amount of ordinary shares, whether or not fully paid, held by them respectively, and apply such profits or sum on their behalf, either in or towards paying up the amounts, if any, for the time being unpaid on any shares held by such members respectively, or in paying up in full shares or debentures of ours of a nominal amount equal to such profits or sum, and allot and distribute such shares or debentures credited as fully paid up, to and amongst such members, or as they may direct, in due proportion, or partly in one way and partly in the other;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that any shares allotted under this regulation to any member in respect of a holding by him or her of any partly paid ordinary shares will, so long as such ordinary shares remain partly paid, rank for dividends only to the extent that such partly paid ordinary shares rank for dividend;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such provisions by the issue of fractional certificates or by payment in cash or otherwise as the Board think fit for the case of shares or debentures becoming distributable under this regulation in fractions;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any person to enter on behalf of all the members concerned into an agreement with us providing for the allotment to them respectively, credited as fully paid up, of any shares or debentures to which they may be entitled upon such capitalization and any agreement made under such authority being effective and binding on all such members.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and subject to the Uncertificated Securities Regulations 2001 (SI 2001/3755), or the Uncertificated Securities Regulations,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Regulations, determine at any time that title to any class of shares may from a date specified by the Board no longer be evidenced otherwise than by a certificate or that title to such a class shall cease to be transferred by means of any particular relevant system.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class of shares which is a participating class and for so long as it remains a participating class, no provision of the Articles shall apply or have effect to the extent that it is inconsistent in any respect with:</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holding of shares of that class in uncertificated form;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 of title to shares of that class by means of a relevant system;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 of the Uncertificated Securities Regulations; and, without prejudice to the generality of this article, no provision of the Articles shall apply or have effect to the extent that it is in any respect inconsistent with the maintenance, keeping or entering up by the operator so long as that is permitted or required by the Uncertificated Securities Regulations, of an operator register of securities in respect of that class of shares in uncertificated form.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 class which is at the relevant time a participating class may be changed from uncertificated to certificated form, and from certificated to uncertificated form, in accordance with and subject as provided in the Uncertificated Securities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 the Articles or the Statutes, we are entitled to sell, transfer or otherwise dispose of, forfeit, re-allot, accept the surrender of or otherwise enforce a lien over an uncertificated share, then, subject to the Articles and the Statute, such entitlement shall include the right of the Board to: (i) require the holder of the uncertificated share by notice in writing to change that share from uncertificated to certificated form within such period as may be specified in the notice and keep it as a certificated share for as long as the Board requires; (ii) 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 (iii) take such other action that the Board considers appropriate to achieve the sale, transfer, disposal, forfeiture, re-allotment or surrender of that share or otherwise to enforce a lien in respect of that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listed on the Nasdaq Capital Market under the symbol “AKTX” since September 21, 2015.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our depositary, registers and delivers the ADSs. Each ADS represents ownership of 80,000 ordinary shares deposited with Deutsche Bank AG, London Branch with its principal office at Winchester House, 1 Great Winchester Street, London EC2N 2DB, U.K., as custodian for the depositary. Each ADS also represents ownership of any other securities, cash or other property, which may be held by the depositary. The depositary’s corporate trust office at which the ADSs are administered is located at 1 Columbus Circle, New York, NY 10019, USA. The principal executive office of the depositary is located at 1 Columbus Circle, New York, NY 10019, USA.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treat ADS holders as shareholders and accordingly, ADS holders do not have shareholder rights. English law governs shareholder rights. The depositary or its custodian is the holder of the ordinary shares underlying the ADSs. A holder of ADSs only has ADS holder rights. A deposit agreement among us, the depositary and the ADS holder, and the beneficial owners of ADSs sets out ADS holder rights as well as the rights and obligations of the depositary. The laws of the State of New York govern the deposit agreement and the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ADSs may hold their ADSs either (1) directly (a) by having an American Depositary Receipt, or ADR, which is a certificate evidencing a specific number of ADSs, registered in the name of the holder, or (b) by holding ADSs in the DRS, or (2) indirectly through each holder’s broker or other financial institution. If one holds ADSs directly, then they are an ADS holder. The description set forth herein assumes that each holder holds their ADSs directly. If a holder holds the ADSs indirectly, they must rely on the procedures of their broker or other financial institution to assert the rights of ADS holders described in this section. Each holder of ADSs should consult with their broker or financial institution to find out what those procedures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to ADS holders the cash dividends or other distributions it or the custodian receives on ordinary shares or other deposited securities, after deducting its fees and expenses. The holder of ADSs receives these distributions in proportion to the number of ordinary shares their ADSs represent as of the record date (which will be as close as practicable to the record date for our ordinary shares) set by the depositary with respect to the ADSs.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Cash.</w:t>
            </w:r>
            <w:r>
              <w:rPr>
                <w:rFonts w:ascii="Times New Roman;Times;Serif" w:hAnsi="Times New Roman;Times;Serif"/>
                <w:sz w:val="20"/>
              </w:rPr>
              <w:t xml:space="preserve"> The depositary converts any cash dividend or other cash distribution we pay on the ordinary shares or any net proceeds from the sale of any ordinary shares, rights, securities or other entitlements into U.S. dollars if it can do so on a reasonable basis, and can transfer the U.S. dollars to the United States. If that is not possible or lawful or if any government approval is needed and cannot be obtained, the deposit agreement allows the depositary to distribute the foreign currency only to those ADS holders to whom it is possible to do so. The depositary holds the foreign currency it cannot convert for the account of the ADS holders who have not been paid. The depositary does not invest the foreign currency and is not liable for any interest.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Shares.</w:t>
            </w:r>
            <w:r>
              <w:rPr>
                <w:rFonts w:ascii="Times New Roman;Times;Serif" w:hAnsi="Times New Roman;Times;Serif"/>
                <w:sz w:val="20"/>
              </w:rPr>
              <w:t xml:space="preserve"> The depositary may distribute additional ADSs representing any ordinary shares we distribute as a dividend or free distribution to the extent reasonably practicable and permissible under law. The depositary only distributes whole ADSs. It will try to sell ordinary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 xml:space="preserve">Other Distributions. </w:t>
            </w:r>
            <w:r>
              <w:rPr>
                <w:rFonts w:ascii="Times New Roman;Times;Serif" w:hAnsi="Times New Roman;Times;Serif"/>
                <w:sz w:val="20"/>
              </w:rPr>
              <w:t>Subject to receipt of timely notice from us with the request to make any such distribution available to ADS holders, and provided the depositary has determined such distribution is lawful and reasonably practicable and feasible and in accordance with the terms of the deposit agreement,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Rights to Purchase Additional Shares</w:t>
            </w:r>
            <w:r>
              <w:rPr>
                <w:rFonts w:ascii="Times New Roman;Times;Serif" w:hAnsi="Times New Roman;Times;Serif"/>
                <w:sz w:val="20"/>
              </w:rPr>
              <w:t>. If we offer holders of our ordinary shares any rights to subscribe for additional shares or any other rights, the depositary may after consultation with us and having received timely notice as described in the deposit agreement of such distribution by us, make these rights available to ADS holders. We must first instruct the depositary to make such rights available to ADS holders and furnish the depositary with satisfactory evidence that it is legal to do so. If the depositary decides it is not legal and practical to make the rights available but that it is practical to sell the rights, the depositary will use reasonable efforts to sell the rights and distribute the net proceeds in the same way as it does with cash. The depositary allows rights that are not distributed or sold to lapse. In that case, ADS holders receive no value for them. If the depositary makes rights available to ADS holders, it will exercise the rights and purchase the shares on ADS holders’ behalf. The depositary will then deposit the shares and deliver ADSs to ADS holders. The depositary only exercises rights if ADS holders pay it the exercise price and any other charges the rights require that ADS holders to pay. U.S. securities laws may restrict transfers and cancellation of the ADSs represented by shares purchased upon exercise of rights. For example, ADS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Elective Distributions in Cash or Shares</w:t>
            </w:r>
            <w:r>
              <w:rPr>
                <w:rFonts w:ascii="Times New Roman;Times;Serif" w:hAnsi="Times New Roman;Times;Serif"/>
                <w:sz w:val="20"/>
              </w:rPr>
              <w:t>. If we offer holders of our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ADS holders. We must first instruct the depositary to make such elective distribution available to ADS holders and furnish it with satisfactory evidence that it is legal to do so. The depositary could decide it is not legal or reasonably practical to make such elective distribution available to ADS holders, or it could decide that it is only legal or reasonably practical to make such elective distribution available to some but not all holders of the ADSs.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ADS holders a method to receive the elective dividend in shares rather than in ADSs. There can be no assurance that ADS holders will be given the opportunity to receive elective distributions on the same terms and conditions as the holders of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ADS holders may not receive the distributions we make on our ordinary shares or any value for them if it is illegal or impractical for us to make them available to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an ADS holder or its broker deposits ordinary shares or evidence of rights to receive ordinary shares with the custodian. Upon payment of its fees and expenses and of any taxes or charges, such as stamp taxes or stock transfer taxes or fees, the depositary will register the appropriate number of ADSs in the names the ADS holder requests and will deliver the ADSs to or upon the order of the person or persons entitled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if feasible.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accept for surrender ADSs only in the case of (i) temporary delays caused by closing our transfer books or those of the depositary or the deposit of our ordinary shares in connection with voting at a shareholders’ meeting or the payment of dividends, (ii) the payment of fees, taxes and similar charges and (iii) compliance with any laws or governmental regulations relating to depositary receipts or to the withdrawal of deposited securities. Subject thereto, in the case of surrender of a number of ADSs representing other than a whole number of our ordinary shares, the depositary will cause ownership of the appropriate whole number of our ordinary shares to be delivered in accordance with the terms of the deposit agreement and will, at the discretion of the depositary, either (i) issue and deliver to the person surrendering such ADSs a new ADS representing any remaining fractional ordinary share or (ii) sell or cause to be sold the fractional ordinary shares represented by the ADSs surrendered and remit the proceeds of such sale (net of applicable fees and charges of, and expenses incurred by, the depositary and taxes and/or governmental charges) to the person surrendering the ADS.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may instruct the depositary how to vote the deposited shares your ADSs represent. Otherwise, you could exercise your right to vote directly if you withdraw the ordinary shares your ADSs represent. However, you may not know about the meeting enough in advance to withdraw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your instructions and upon timely notice from us as described in the deposit agreement, the depositary will notify you of the upcoming vote and arrange to deliver our voting materials to you. The materials will (1) describe the matters to be voted on and (2) explain how you may instruct the depositary to vote the ordinary shares or other deposited securities underlying your ADSs as you direct.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ordinary shares underlying your ADSs. In addition, the depositary and its agents are not responsible for failing to carry out your voting instructions or for the manner of carrying out your voting instructions. This means that you may not be able to exercise your right to vote and you may have no recourse if the ordinary shares underlying your ADSs are not voted as you requested.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are required to give the depositary 30 days’ advance notice of any such meeting and details concerning the matters to be voted upon sufficiently in advance of the meeting date, and the depositary will mail you a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holder of ADSs, you will be required to pay the following fees to the depositary under the terms of the deposit agreement: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7"/>
        <w:gridCol w:w="60"/>
        <w:gridCol w:w="6348"/>
      </w:tblGrid>
      <w:tr>
        <w:trPr/>
        <w:tc>
          <w:tcPr>
            <w:tcW w:w="3797"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pPr>
            <w:r>
              <w:rPr/>
              <w:t> </w:t>
            </w:r>
          </w:p>
        </w:tc>
        <w:tc>
          <w:tcPr>
            <w:tcW w:w="63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issued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in the case of termination of the deposit agreement</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cancelled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 or other cash distributions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$0.02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share dividends, free share distributions or exercise of rights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costs in administering the ADSs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$0.02 per ADS held</w:t>
            </w:r>
          </w:p>
        </w:tc>
      </w:tr>
      <w:tr>
        <w:trPr/>
        <w:tc>
          <w:tcPr>
            <w:tcW w:w="379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Inspections of the relevant share register maintained by the local registrar and/or performing due diligence on the central securities depository for England and Wales</w:t>
            </w:r>
          </w:p>
        </w:tc>
        <w:tc>
          <w:tcPr>
            <w:tcW w:w="60" w:type="dxa"/>
            <w:tcBorders/>
            <w:tcMar>
              <w:bottom w:w="0" w:type="dxa"/>
            </w:tcMar>
            <w:vAlign w:val="center"/>
          </w:tcPr>
          <w:p>
            <w:pPr>
              <w:pStyle w:val="TableContents"/>
              <w:bidi w:val="0"/>
              <w:spacing w:before="0" w:after="283"/>
              <w:jc w:val="left"/>
              <w:rPr/>
            </w:pPr>
            <w:r>
              <w:rPr/>
              <w:t> </w:t>
            </w:r>
          </w:p>
        </w:tc>
        <w:tc>
          <w:tcPr>
            <w:tcW w:w="634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$0.01 per ADS held (such fee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tax benefit obtained for you.</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thirty (30) days after the depositary notifies ADS holders of the amendment. At the time an amendment becomes effective, you are considered, by virtue of continuing to hold your ADSs, to have agreed to the amendment and to be bound by the ADRs and the deposit agreement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and we have not appointed a new depositary within 90 days. In such case, the depositary must notify you at least 30 days before termination.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our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gross negligence or willful misconduct;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not liable if either of us exercises, or fails to exercise, discretion permitted under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no obligation to become involved in a lawsuit or other proceeding related to the ADSs or the deposit agreement on your behalf, as an ADS holder, or on behalf of any other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rely upon any documents we believe in good faith to be genuine and to have been signed or presented by the proper party;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any action/inaction in reliance on the advice or information of legal counsel, accountants, any person presenting ordinary shares for deposit, holders and beneficial owners (or authorized representatives) of ADSs, or any person believed in good faith to be competent to give such advice or information;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inability of any holder to benefit from any distribution, offering, right or other benefit made available to holders of deposited securities but not made available to holders of ADSs;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disclaim any liability for any indirect, special, punitive or consequential damages.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distribution to you, as an ADS holder, or for any inaccuracy of any translation thereof, any investment risk associated with the acquisition of an interest in the deposited securities, the validity or worth of the deposited securities, the credit-worthiness of any third party, or for any tax consequences that may result from ownership of ADSs, ordinary shares or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issue, deliver or register a transfer of an ADS, make a distribution on an ADS, or permit withdrawal of ordinary shares, the depositary may require: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issue and deliver ADSs or register transfers of ADSs generally when the register of the depositary or our transfer books are closed or at any time if the depositary or we think it is necessary or advisable to do so.</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the right to cancel your ADSs and withdraw the underlying shares at any time except: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temporary delays arise because: (1) the depositary has closed its transfer books or we have closed our transfer books; (2) the transfer of ordinary shares is blocked to permit voting at a shareholders’ meeting; or (3) we are paying a dividend on our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you owe money to pay fees, taxes and similar charges;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it is necessary to prohibit withdrawals in order to comply with any laws or governmental regulations that apply to ADSs or to the withdrawal of ordinary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verify, determine or otherwise ascertain that the DTC participant which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and compliance with, instructions received by the depositary through the DRS/Profile system and in accordance with the deposit agreement, shall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Pre-release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(a) owns the ordinary shares or ADSs to be deposited, (b) assigns all beneficial rights, title and interest in such ordinary shares or ADSs to the depositary for the benefit of the owners, (c) will not take any action with respect to such ordinary shares or ADSs that is inconsistent with the transfer of beneficial ownership, (d) indicates the depositary as owner of such ordinary shares or ADSs in its records, and (e) unconditionally guarantees to deliver such ordinary shares or ADSs to the depositary or the custodian, as the case may be; (2) the pre-release is fully collateralized with cash or other collateral that the depositary considers appropriate; and (3) the depositary must be able to close out the pre-release on not more than five business days’ notice. Each pre-release is subject to further indemnities and credit regulations as the depositary considers appropriate. In addition, the depositary will normally limit the number of ADSs that may be outstanding at any time as a result of pre-release to 30% of the aggregate number of ADSs then outstanding, although the depositary, in its sole discretion, may disregard the limit from time to time, if it thinks it is appropriate to do so, including (1) due to a decrease in the aggregate number of ADSs outstanding that causes existing pre-release transactions to temporarily exceed the limit stated above or (2) where otherwise required by market conditions. The depositary may also set limits with respect to the number of ADSs and shares involved in pre-release transactions with any one person on a case-by-case basis as it deems appropriate.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represented by ADSs issued and the ordinary shares represented by ADSs issuable upon exercise of the Warrants to permit the resale of these ordinary shares represented by ADSs by the holders of these ADSs and Warrants from time to time after the date of this prospectus. We will not receive any of the proceeds from the sale by the selling shareholders of the ordinary shares represented by ADSs other than proceeds from the cash exercise of the Warrants. We will bear all fees and expenses incident to our obligation to register the ordinary shares represented by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represented by ADSs beneficially owned by them and offered hereby from time to time directly or through one or more underwriters, broker-dealers or agents. If the ordinary shares represented by ADSs are sold through underwriters or broker-dealers, the selling shareholders will be responsible for underwriting discounts or commissions or agent’s commissions. The ordinary shares represented by ADSs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pursuant to Rule 144;</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the selling security holders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shareholders effect such transactions by selling ordinary shares represented by ADSs to or through underwriters, broker-dealers or agents, such underwriters, broker-dealers or agents may receive commissions in the form of discounts, concessions or commissions from the selling shareholders or commissions from purchasers of the ordinary shares represented by ADSs for whom they may act as agent or to whom they may sell as principal (which discounts, concessions or commissions as to particular underwriters, broker-dealers or agents may be in excess of those customary in the types of transactions involved). In connection with sales of ordinary shares represented by ADSs or otherwise, the selling shareholders may enter into hedging transactions with broker-dealers, which may in turn engage in short sales of the ordinary shares represented by ADSs in the course of hedging in positions they assume. The selling shareholders may also sell ordinary shares represented by ADSs short and deliver ordinary shares represented by ADSs covered by this prospectus to close out short positions and to return borrowed shares in connection with such short sales. The selling shareholders may also loan or pledge ordinary shares represented by ADSs to broker-dealers that in turn may sell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ADSs or Warrants owned by them and, if they default in the performance of their secured obligations, the pledgees or secured parties may offer and sell the ordinary shares represented by ADSs from time to time pursuant to this prospectus or any amendment to this prospectus under Rule 424(b) or other applicable provision of the Securities Act of 1933, as amended, amending, if necessary, the list of selling shareholders to include the pledgee, transferee or other successors in interest as selling shareholders under this prospectus. The selling shareholders also may transfer and donate the ordinary shares represented by ADSs in other circumstances in which case the transferees, donees, pledgees or other successors in interest will be the selling beneficial owners for purposes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 participating in the distribution of the ordinary shares represented by ADSs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represented by ADSs is made, a prospectus supplement, if required, will be distributed which will set forth the aggregate amount of ordinary shares represented by ADSs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ordinary shares represented by ADSs may be sold in such states only through registered or licensed brokers or dealers. In addition, in some states ordinary shares represented by ADSs may not be sold unless such ordinary shares have been registered or qualified for sale in such state or an exemption from registration or qualification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 will sell any or all of the ordinary shares represented by ADSs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ordinary shares represented by ADSs by the selling shareholders and any other participating person. Regulation M may also restrict the ability of any person engaged in the distribution of the ordinary shares represented by ADSs to engage in market-making activities with respect to the ordinary shares represented by ADSs. All of the foregoing may affect the marketability of the ordinary shares represented by ADSs and the ability of any person or entity to engage in market-making activities with respect to the ordinary shares represented by ADSs.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represented by ADSs, estimated to be $39,368 in total, including, without limitation, Securities and Exchange Commission filing fees and expenses of compliance with state securities or “blue sky” laws; provided, however, that a selling shareholder will pay all underwriting discounts and selling commissions,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represented by ADSs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of United States federal law will be passed upon for us by Greenberg Traurig, LLP, New York. The validity of the ordinary shares represented by ADSs and certain other matters as to English law will be passed upon for us by Greenberg Traurig, LLP, London.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Akari Therapeutics, Plc (the Company) as of December 31, 2025 and 2024 and for the years then ended incorporated by reference in this Prospectus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 Relations” section of our website at www.akaritx.com. Our website and the information contained on that site, or connected to that site, are not incorporated into and are not a part of this prospectus.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
        <w:gridCol w:w="195"/>
        <w:gridCol w:w="9910"/>
      </w:tblGrid>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w:t>
            </w:r>
          </w:p>
        </w:tc>
        <w:tc>
          <w:tcPr>
            <w:tcW w:w="99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30, 2026;</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195"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9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three months ended March 31, 2026, filed with the SEC on May 19, 2026; </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w:t>
            </w:r>
          </w:p>
        </w:tc>
        <w:tc>
          <w:tcPr>
            <w:tcW w:w="99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w:t>
            </w:r>
            <w:hyperlink r:id="rId4">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(with respect to Item 3.03 only), </w:t>
            </w:r>
            <w:hyperlink r:id="rId6">
              <w:r>
                <w:rPr>
                  <w:rStyle w:val="InternetLink"/>
                  <w:rFonts w:ascii="Times New Roman;Times;Serif" w:hAnsi="Times New Roman;Times;Serif"/>
                  <w:b w:val="false"/>
                  <w:i w:val="false"/>
                  <w:caps w:val="false"/>
                  <w:smallCaps w:val="false"/>
                  <w:sz w:val="20"/>
                </w:rPr>
                <w:t>May 22,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and</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195" w:type="dxa"/>
            <w:tcBorders/>
            <w:vAlign w:val="center"/>
          </w:tcPr>
          <w:p>
            <w:pPr>
              <w:pStyle w:val="TableContents"/>
              <w:bidi w:val="0"/>
              <w:spacing w:before="0" w:after="283"/>
              <w:jc w:val="center"/>
              <w:rPr>
                <w:caps w:val="false"/>
                <w:smallCaps w:val="false"/>
              </w:rPr>
            </w:pPr>
            <w:r>
              <w:rPr>
                <w:caps w:val="false"/>
                <w:smallCaps w:val="false"/>
              </w:rPr>
              <w:t>●</w:t>
            </w:r>
          </w:p>
        </w:tc>
        <w:tc>
          <w:tcPr>
            <w:tcW w:w="991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ordinary shares contained in </w:t>
            </w:r>
            <w:hyperlink r:id="rId9">
              <w:r>
                <w:rPr>
                  <w:rStyle w:val="InternetLink"/>
                  <w:rFonts w:ascii="Times New Roman;Times;Serif" w:hAnsi="Times New Roman;Times;Serif"/>
                  <w:b w:val="false"/>
                  <w:i w:val="false"/>
                  <w:caps w:val="false"/>
                  <w:smallCaps w:val="false"/>
                  <w:sz w:val="20"/>
                </w:rPr>
                <w:t>Exhibit 4.7</w:t>
              </w:r>
            </w:hyperlink>
            <w:r>
              <w:rPr>
                <w:rFonts w:ascii="Times New Roman;Times;Serif" w:hAnsi="Times New Roman;Times;Serif"/>
                <w:b w:val="false"/>
                <w:i w:val="false"/>
                <w:caps w:val="false"/>
                <w:smallCaps w:val="false"/>
                <w:sz w:val="20"/>
              </w:rPr>
              <w:t xml:space="preserve"> to our Annual Report on Form 10-K for the year ended December 31, 2024, filed with the SEC on April 15, 2025, and any amendment or report filed with the SEC for the purposes of updating the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including exhibits to these documents. You should direct any requests for documents to Akari Therapeutics, Plc, 401 East Jackson Street, Suite 3300, Tampa, FL 33602, Attention: Abizer Gaslightwala.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Enforcement of Foreign Judgments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England and Wales. Several of our directors and officers reside outside the United States, and a portion of our assets and all or a substantial portion of the assets of such persons are located outside the United States. As a result, it may be difficult for you to serve legal process on us or certain of our directors and executive officers or have any of them appear in a U.S.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U.S. investors to bring and/or effectively enforce suits against our company in England. Although English courts do recognize U.S. judgments unless there is an overriding jurisdictional or public policy reason not to do so, if a judgment is obtained in the U.S. courts based on the civil liability provisions of U.S. federal securities laws against us, difficulties may arise in enforcing the judgment against us in the English courts. The enforceability of any U.S. judgment in the United Kingdom will depend on the particular facts of the case as well as the laws and treaties in effect at the time. The United States and the United Kingdom do not currently have a treaty providing for reciprocal recognition and enforcement of judgments (other than arbitration awards) in civil and commercial matters. It may similarly be difficult for U.S. investors to bring an original action in the English courts to enforce liabilities based on U.S. federal securities laws.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payable by us in connection with the issuance and distribution of the securities being registered by this registration statement. None of the expenses listed below are to be borne by any of the selling shareholders named in the prospectus that forms a part of this registration statement. All the amounts shown are estimates, except for the SEC registration fee.</w:t>
      </w:r>
    </w:p>
    <w:p>
      <w:pPr>
        <w:pStyle w:val="TextBody"/>
        <w:bidi w:val="0"/>
        <w:spacing w:before="0" w:after="0"/>
        <w:ind w:left="0" w:right="0" w:firstLine="360"/>
        <w:jc w:val="both"/>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8,368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articles of association provide that, subject to the Companies Act 2006, every director or other officer (excluding an auditor) of the Registrant may be indemnified out of the assets of the Registrant against all costs, charges, expenses, losses or liabilities incurred by him in performing his duties or the exercise of his powers or otherwise in relation to or in connection with his duties, powers or office.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directors and officers insurance to insure such persons against certain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listed above do not include expenses of preparing prospectus supplements and other expenses relating to offerings of particular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attached hereto:</w:t>
      </w:r>
    </w:p>
    <w:p>
      <w:pPr>
        <w:pStyle w:val="TextBody"/>
        <w:bidi w:val="0"/>
        <w:spacing w:before="0" w:after="0"/>
        <w:ind w:left="0" w:right="0" w:firstLine="816"/>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7"/>
        <w:gridCol w:w="60"/>
        <w:gridCol w:w="9388"/>
      </w:tblGrid>
      <w:tr>
        <w:trPr/>
        <w:tc>
          <w:tcPr>
            <w:tcW w:w="75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Amended Articles of Association of Akari Therapeutics, Plc (incorporated by reference to the Exhibit 3.1 to Registrant’s Current Report on Form 6-K, as filed with the SEC on July 7,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Deposit Agreement among the Registrant, Deutsche Bank Trust Company Americas, as Depositary, and all Owners and Holders from time to time of American Depositary Shares issued thereunder (incorporated by reference to the exhibit 99.(A)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Amendment to Deposit Agreement among the Registrant, Deutsche Bank Trust Company Americas, as Depositary, and all Owners and Holders from time to time of American Depositary Shares issued thereunder (incorporated by reference to the registrant’s Post-Effective Amendment No. 1 to Registration Statement on Form F-6 (No. 333-185197) filed on December 24, 2013).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American Depositary Receipt; the Form is Exhibit A of Amendment No. 1 to the Deposit Agreement (incorporated by reference to the exhibit previously filed with the Registrant’s Registration Statement on Form F-6 (No. 333-185197) filed on November 30, 2012).</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Amendment No. 2 to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Amendment No. 3 to Deposit Agreement (incorporated by reference to the exhibit previously filed with the Registrant’s Post-Effective Amendment on Registration Statement Form F-6 (File No. 333-185197) filed on August 17, 2023).</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Amendment No. 4 to Deposit Agreement (incorporated by reference to the exhibit previously filed with the Registrant’s Post-Effective Amendment on Registration Statement Form F-6 (File No. 333-185197) filed on March 31,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American Depositary Receipt; the Form is Exhibit A of Amendment No. 2 to the Deposit Agreement (incorporated by reference to the exhibit previously filed with the Registrant’s Post-Effective Amendment on Registration Statement Form F-6 (File No. 333-185197) filed on September 9, 2015).</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Pre-Funded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Series H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Series I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Series J Warrant issued by Akari Therapeutics, Plc in connection with the May Private Placement.</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Opinion of Greenberg Traurig LLP as to the legality of the securities being registered.</w:t>
              </w:r>
            </w:hyperlink>
          </w:p>
        </w:tc>
      </w:tr>
      <w:tr>
        <w:trPr/>
        <w:tc>
          <w:tcPr>
            <w:tcW w:w="75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Securities Purchase Agreement dated as of May 20, 2026 between Akari Therapeutics, Plc and the purchasers party thereto (incorporated by reference to Exhibit 10.1 previously filed with the Registrant’s Current Report on Form 8-K as filed with the SEC on May 22,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sz w:val="4"/>
                <w:szCs w:val="4"/>
              </w:rPr>
            </w:pPr>
            <w:r>
              <w:rPr>
                <w:sz w:val="4"/>
                <w:szCs w:val="4"/>
              </w:rPr>
            </w:r>
          </w:p>
        </w:tc>
        <w:tc>
          <w:tcPr>
            <w:tcW w:w="9388"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No.1 to the Securities Purchase Agreement dated as of June 23, 2026 between Akari Therapeutics, Plc and the purchasers party thereto (incorporated by reference to Exhibit 10.1 previously filed with the Registrant’s Current Report on Form 8-K as filed with the SEC on June 26, 2026).</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Consent of BDO USA, P.C.</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Consent of Greenberg Traurig LLP (included in Exhibit 5.1)</w:t>
              </w:r>
            </w:hyperlink>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"https://www.sec.gov/Archives/edgar/data/1541157/000149315226031967/forms-3.htm" \l "ap_015"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in signature page)</w:t>
            </w:r>
            <w:r>
              <w:rPr>
                <w:rStyle w:val="InternetLink"/>
                <w:smallCaps w:val="false"/>
                <w:caps w:val="false"/>
                <w:sz w:val="20"/>
                <w:i w:val="false"/>
                <w:b w:val="false"/>
                <w:rFonts w:ascii="Times New Roman;Times;Serif" w:hAnsi="Times New Roman;Times;Serif"/>
              </w:rPr>
              <w:fldChar w:fldCharType="end"/>
            </w:r>
          </w:p>
        </w:tc>
      </w:tr>
      <w:tr>
        <w:trPr/>
        <w:tc>
          <w:tcPr>
            <w:tcW w:w="75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8"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Previously filed.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acknowledges that, notwithstanding the inclusion of the foregoing cautionary statements, the registrant is responsible for considering whether additional specific disclosures of material information regarding material contractual provisions are required to make the statements in this registration statement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Tampa, Florida on this July 10, 2026.</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2210"/>
        <w:gridCol w:w="60"/>
        <w:gridCol w:w="3830"/>
        <w:gridCol w:w="60"/>
        <w:gridCol w:w="1160"/>
      </w:tblGrid>
      <w:tr>
        <w:trPr/>
        <w:tc>
          <w:tcPr>
            <w:tcW w:w="2210" w:type="dxa"/>
            <w:tcBorders>
              <w:bottom w:val="single" w:sz="8" w:space="0" w:color="000000"/>
            </w:tcBorders>
            <w:vAlign w:val="center"/>
          </w:tcPr>
          <w:p>
            <w:pPr>
              <w:pStyle w:val="TableContents"/>
              <w:bidi w:val="0"/>
              <w:spacing w:before="0" w:after="283"/>
              <w:jc w:val="center"/>
              <w:rPr>
                <w:b/>
                <w:sz w:val="20"/>
              </w:rPr>
            </w:pPr>
            <w:r>
              <w:rPr>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830"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16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Abizer Gaslightwala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Interim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Kameel Farag</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Chairman</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Hoyoung Huh, M.D., Ph.D.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Ray Prudo,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Samir R. Patel, M.D.</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Sandip I. Patel</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r>
        <w:trPr/>
        <w:tc>
          <w:tcPr>
            <w:tcW w:w="2210" w:type="dxa"/>
            <w:tcBorders>
              <w:bottom w:val="single" w:sz="8" w:space="0" w:color="000000"/>
            </w:tcBorders>
            <w:vAlign w:val="center"/>
          </w:tcPr>
          <w:p>
            <w:pPr>
              <w:pStyle w:val="TableContents"/>
              <w:bidi w:val="0"/>
              <w:spacing w:before="0" w:after="283"/>
              <w:jc w:val="left"/>
              <w:rPr/>
            </w:pPr>
            <w:r>
              <w:rPr>
                <w:i/>
                <w:sz w:val="20"/>
              </w:rPr>
              <w:t>*</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sz w:val="20"/>
              </w:rPr>
              <w:t>July 10,</w:t>
            </w:r>
            <w:r>
              <w:rPr/>
              <w:t xml:space="preserve"> </w:t>
            </w:r>
            <w:r>
              <w:rPr>
                <w:sz w:val="20"/>
              </w:rPr>
              <w:t>2026</w:t>
            </w:r>
          </w:p>
        </w:tc>
      </w:tr>
      <w:tr>
        <w:trPr/>
        <w:tc>
          <w:tcPr>
            <w:tcW w:w="2210" w:type="dxa"/>
            <w:tcBorders/>
            <w:tcMar>
              <w:bottom w:w="0" w:type="dxa"/>
            </w:tcMar>
            <w:vAlign w:val="center"/>
          </w:tcPr>
          <w:p>
            <w:pPr>
              <w:pStyle w:val="TableContents"/>
              <w:bidi w:val="0"/>
              <w:spacing w:before="0" w:after="283"/>
              <w:jc w:val="left"/>
              <w:rPr>
                <w:sz w:val="20"/>
              </w:rPr>
            </w:pPr>
            <w:r>
              <w:rPr>
                <w:sz w:val="20"/>
              </w:rPr>
              <w:t>Robert Bazemore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00"/>
        <w:gridCol w:w="1940"/>
        <w:gridCol w:w="75"/>
      </w:tblGrid>
      <w:tr>
        <w:trPr/>
        <w:tc>
          <w:tcPr>
            <w:tcW w:w="500" w:type="dxa"/>
            <w:tcBorders/>
            <w:vAlign w:val="center"/>
          </w:tcPr>
          <w:p>
            <w:pPr>
              <w:pStyle w:val="TableContents"/>
              <w:bidi w:val="0"/>
              <w:spacing w:before="0" w:after="283"/>
              <w:jc w:val="left"/>
              <w:rPr>
                <w:i/>
                <w:sz w:val="20"/>
              </w:rPr>
            </w:pPr>
            <w:r>
              <w:rPr>
                <w:i/>
                <w:sz w:val="20"/>
              </w:rPr>
              <w:t xml:space="preserve">* By: </w:t>
            </w:r>
          </w:p>
        </w:tc>
        <w:tc>
          <w:tcPr>
            <w:tcW w:w="194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Abizer Gaslightwala</w:t>
            </w:r>
          </w:p>
        </w:tc>
        <w:tc>
          <w:tcPr>
            <w:tcW w:w="75" w:type="dxa"/>
            <w:tcBorders/>
            <w:vAlign w:val="center"/>
          </w:tcPr>
          <w:p>
            <w:pPr>
              <w:pStyle w:val="TableContents"/>
              <w:bidi w:val="0"/>
              <w:spacing w:before="0" w:after="283"/>
              <w:jc w:val="left"/>
              <w:rPr/>
            </w:pPr>
            <w:r>
              <w:rPr/>
              <w:t> </w:t>
            </w:r>
          </w:p>
        </w:tc>
      </w:tr>
      <w:tr>
        <w:trPr/>
        <w:tc>
          <w:tcPr>
            <w:tcW w:w="2440" w:type="dxa"/>
            <w:gridSpan w:val="2"/>
            <w:tcBorders/>
            <w:vAlign w:val="center"/>
          </w:tcPr>
          <w:p>
            <w:pPr>
              <w:pStyle w:val="TableContents"/>
              <w:bidi w:val="0"/>
              <w:spacing w:before="0" w:after="283"/>
              <w:jc w:val="left"/>
              <w:rPr>
                <w:sz w:val="20"/>
              </w:rPr>
            </w:pPr>
            <w:r>
              <w:rPr>
                <w:sz w:val="20"/>
              </w:rPr>
              <w:t>Abizer Gaslightwala</w:t>
            </w:r>
          </w:p>
        </w:tc>
        <w:tc>
          <w:tcPr>
            <w:tcW w:w="75" w:type="dxa"/>
            <w:tcBorders/>
            <w:vAlign w:val="center"/>
          </w:tcPr>
          <w:p>
            <w:pPr>
              <w:pStyle w:val="TableContents"/>
              <w:bidi w:val="0"/>
              <w:spacing w:before="0" w:after="283"/>
              <w:jc w:val="left"/>
              <w:rPr/>
            </w:pPr>
            <w:r>
              <w:rPr/>
              <w:t> </w:t>
            </w:r>
          </w:p>
        </w:tc>
      </w:tr>
      <w:tr>
        <w:trPr/>
        <w:tc>
          <w:tcPr>
            <w:tcW w:w="2440" w:type="dxa"/>
            <w:gridSpan w:val="2"/>
            <w:tcBorders/>
            <w:vAlign w:val="center"/>
          </w:tcPr>
          <w:p>
            <w:pPr>
              <w:pStyle w:val="TableContents"/>
              <w:bidi w:val="0"/>
              <w:spacing w:before="0" w:after="283"/>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1157/000149315226013664/form10-k.htm" TargetMode="External"/><Relationship Id="rId3" Type="http://schemas.openxmlformats.org/officeDocument/2006/relationships/hyperlink" Target="https://www.sec.gov/Archives/edgar/data/1541157/000149315226024446/form10-q.htm" TargetMode="External"/><Relationship Id="rId4" Type="http://schemas.openxmlformats.org/officeDocument/2006/relationships/hyperlink" Target="https://www.sec.gov/Archives/edgar/data/1541157/000149315226008570/form8-k.htm" TargetMode="External"/><Relationship Id="rId5" Type="http://schemas.openxmlformats.org/officeDocument/2006/relationships/hyperlink" Target="https://www.sec.gov/Archives/edgar/data/1541157/000149315226010602/form8-k.htm" TargetMode="External"/><Relationship Id="rId6" Type="http://schemas.openxmlformats.org/officeDocument/2006/relationships/hyperlink" Target="https://www.sec.gov/Archives/edgar/data/1541157/000149315226025037/form8-k.htm" TargetMode="External"/><Relationship Id="rId7" Type="http://schemas.openxmlformats.org/officeDocument/2006/relationships/hyperlink" Target="http://www.sec.gov/Archives/edgar/data/1541157/000149315226030341/form8-k.htm" TargetMode="External"/><Relationship Id="rId8" Type="http://schemas.openxmlformats.org/officeDocument/2006/relationships/hyperlink" Target="https://www.sec.gov/Archives/edgar/data/1541157/000149315226031972/form8-k.htm" TargetMode="External"/><Relationship Id="rId9" Type="http://schemas.openxmlformats.org/officeDocument/2006/relationships/hyperlink" Target="https://www.sec.gov/Archives/edgar/data/1541157/000095017025054278/aktx-ex4_7.htm" TargetMode="External"/><Relationship Id="rId10" Type="http://schemas.openxmlformats.org/officeDocument/2006/relationships/hyperlink" Target="https://www.sec.gov/Archives/edgar/data/1541157/000110465923079148/tm2320457d2_ex3-1.htm" TargetMode="External"/><Relationship Id="rId11" Type="http://schemas.openxmlformats.org/officeDocument/2006/relationships/hyperlink" Target="https://www.sec.gov/Archives/edgar/data/1471515/000119380512001873/e610245_ex99-a.htm" TargetMode="External"/><Relationship Id="rId12" Type="http://schemas.openxmlformats.org/officeDocument/2006/relationships/hyperlink" Target="https://www.sec.gov/Archives/edgar/data/1471515/000119380513002317/e611690_ex99-a2.htm" TargetMode="External"/><Relationship Id="rId13" Type="http://schemas.openxmlformats.org/officeDocument/2006/relationships/hyperlink" Target="https://www.sec.gov/Archives/edgar/data/1471515/000119380512001873/e610245_ex99-d.htm" TargetMode="External"/><Relationship Id="rId14" Type="http://schemas.openxmlformats.org/officeDocument/2006/relationships/hyperlink" Target="https://www.sec.gov/Archives/edgar/data/1471515/000119380515001500/e64079_ex99-a3.htm" TargetMode="External"/><Relationship Id="rId15" Type="http://schemas.openxmlformats.org/officeDocument/2006/relationships/hyperlink" Target="https://www.sec.gov/Archives/edgar/data/1471515/000091957423004884/d10790953_ex99-a4.htm" TargetMode="External"/><Relationship Id="rId16" Type="http://schemas.openxmlformats.org/officeDocument/2006/relationships/hyperlink" Target="https://www.sec.gov/Archives/edgar/data/1471515/000091957426001972/d12123390_f-6a.htm" TargetMode="External"/><Relationship Id="rId17" Type="http://schemas.openxmlformats.org/officeDocument/2006/relationships/hyperlink" Target="https://www.sec.gov/Archives/edgar/data/1471515/000119380515001500/e64079_ex99-a3.htm" TargetMode="External"/><Relationship Id="rId18" Type="http://schemas.openxmlformats.org/officeDocument/2006/relationships/hyperlink" Target="https://www.sec.gov/Archives/edgar/data/1541157/000149315226031967/ex4-7.htm" TargetMode="External"/><Relationship Id="rId19" Type="http://schemas.openxmlformats.org/officeDocument/2006/relationships/hyperlink" Target="https://www.sec.gov/Archives/edgar/data/1541157/000149315226032503/ex4-8.htm" TargetMode="External"/><Relationship Id="rId20" Type="http://schemas.openxmlformats.org/officeDocument/2006/relationships/hyperlink" Target="https://www.sec.gov/Archives/edgar/data/1541157/000149315226032503/ex4-9.htm" TargetMode="External"/><Relationship Id="rId21" Type="http://schemas.openxmlformats.org/officeDocument/2006/relationships/hyperlink" Target="https://www.sec.gov/Archives/edgar/data/1541157/000149315226031967/ex4-10.htm" TargetMode="External"/><Relationship Id="rId22" Type="http://schemas.openxmlformats.org/officeDocument/2006/relationships/hyperlink" Target="https://www.sec.gov/Archives/edgar/data/1541157/000149315226032503/ex5-1.htm" TargetMode="External"/><Relationship Id="rId23" Type="http://schemas.openxmlformats.org/officeDocument/2006/relationships/hyperlink" Target="https://www.sec.gov/Archives/edgar/data/1541157/000149315226025037/ex10-1.htm" TargetMode="External"/><Relationship Id="rId24" Type="http://schemas.openxmlformats.org/officeDocument/2006/relationships/hyperlink" Target="https://www.sec.gov/Archives/edgar/data/1541157/000149315226030341/ex10-1.htm" TargetMode="External"/><Relationship Id="rId25" Type="http://schemas.openxmlformats.org/officeDocument/2006/relationships/hyperlink" Target="https://www.sec.gov/Archives/edgar/data/1541157/000149315226032503/ex23-1.htm" TargetMode="External"/><Relationship Id="rId26" Type="http://schemas.openxmlformats.org/officeDocument/2006/relationships/hyperlink" Target="https://www.sec.gov/Archives/edgar/data/1541157/000149315226032503/ex5-1.htm" TargetMode="External"/><Relationship Id="rId27" Type="http://schemas.openxmlformats.org/officeDocument/2006/relationships/hyperlink" Target="https://www.sec.gov/Archives/edgar/data/1541157/000149315226031967/ex107.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19292</Words>
  <Characters>100779</Characters>
  <CharactersWithSpaces>120360</CharactersWithSpaces>
  <Paragraphs>1740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