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820" w:right="1760" w:hanging="3812"/>
        <w:spacing w:after="0" w:line="500" w:lineRule="auto"/>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740" w:hanging="3232"/>
        <w:spacing w:after="0" w:line="500" w:lineRule="auto"/>
        <w:tabs>
          <w:tab w:leader="none" w:pos="3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001-36288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Akari Therapeutics,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98-1034922</w:t>
            </w: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401 East Jackson Street, Suite 3300</w:t>
            </w:r>
          </w:p>
        </w:tc>
        <w:tc>
          <w:tcPr>
            <w:tcW w:w="3180" w:type="dxa"/>
            <w:vAlign w:val="bottom"/>
          </w:tcPr>
          <w:p>
            <w:pPr>
              <w:spacing w:after="0"/>
              <w:rPr>
                <w:sz w:val="24"/>
                <w:szCs w:val="24"/>
                <w:color w:val="auto"/>
              </w:rPr>
            </w:pP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Tampa, FL</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33602</w:t>
            </w:r>
          </w:p>
        </w:tc>
      </w:tr>
      <w:tr>
        <w:trPr>
          <w:trHeight w:val="238"/>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 274-7510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spacing w:after="0"/>
              <w:rPr>
                <w:sz w:val="24"/>
                <w:szCs w:val="24"/>
                <w:color w:val="auto"/>
              </w:rPr>
            </w:pPr>
          </w:p>
        </w:tc>
      </w:tr>
      <w:tr>
        <w:trPr>
          <w:trHeight w:val="238"/>
        </w:trPr>
        <w:tc>
          <w:tcPr>
            <w:tcW w:w="5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960" w:type="dxa"/>
            <w:vAlign w:val="bottom"/>
            <w:tcBorders>
              <w:top w:val="single" w:sz="8" w:color="auto"/>
            </w:tcBorders>
            <w:shd w:val="clear" w:color="auto" w:fill="CFF0FC"/>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 80,000</w:t>
            </w: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AKTX</w:t>
            </w:r>
          </w:p>
        </w:tc>
        <w:tc>
          <w:tcPr>
            <w:tcW w:w="220" w:type="dxa"/>
            <w:vAlign w:val="bottom"/>
            <w:tcBorders>
              <w:top w:val="single" w:sz="8" w:color="CFF0FC"/>
            </w:tcBorders>
            <w:shd w:val="clear" w:color="auto" w:fill="CFF0FC"/>
          </w:tcPr>
          <w:p>
            <w:pPr>
              <w:spacing w:after="0"/>
              <w:rPr>
                <w:sz w:val="16"/>
                <w:szCs w:val="16"/>
                <w:color w:val="auto"/>
              </w:rPr>
            </w:pPr>
          </w:p>
        </w:tc>
        <w:tc>
          <w:tcPr>
            <w:tcW w:w="4040" w:type="dxa"/>
            <w:vAlign w:val="bottom"/>
            <w:tcBorders>
              <w:top w:val="single" w:sz="8" w:color="auto"/>
            </w:tcBorders>
            <w:shd w:val="clear" w:color="auto" w:fill="CFF0FC"/>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5460" w:type="dxa"/>
            <w:vAlign w:val="bottom"/>
            <w:tcBorders>
              <w:bottom w:val="single" w:sz="8" w:color="CCECFF"/>
            </w:tcBorders>
            <w:gridSpan w:val="3"/>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$0.000000005 per share</w:t>
            </w:r>
          </w:p>
        </w:tc>
        <w:tc>
          <w:tcPr>
            <w:tcW w:w="1520" w:type="dxa"/>
            <w:vAlign w:val="bottom"/>
            <w:tcBorders>
              <w:bottom w:val="single" w:sz="8" w:color="CCECFF"/>
            </w:tcBorders>
            <w:shd w:val="clear" w:color="auto" w:fill="CFF0FC"/>
          </w:tcPr>
          <w:p>
            <w:pPr>
              <w:spacing w:after="0"/>
              <w:rPr>
                <w:sz w:val="20"/>
                <w:szCs w:val="20"/>
                <w:color w:val="auto"/>
              </w:rPr>
            </w:pPr>
          </w:p>
        </w:tc>
        <w:tc>
          <w:tcPr>
            <w:tcW w:w="220" w:type="dxa"/>
            <w:vAlign w:val="bottom"/>
            <w:tcBorders>
              <w:bottom w:val="single" w:sz="8" w:color="CCECFF"/>
            </w:tcBorders>
            <w:shd w:val="clear" w:color="auto" w:fill="CFF0FC"/>
          </w:tcPr>
          <w:p>
            <w:pPr>
              <w:spacing w:after="0"/>
              <w:rPr>
                <w:sz w:val="20"/>
                <w:szCs w:val="20"/>
                <w:color w:val="auto"/>
              </w:rPr>
            </w:pPr>
          </w:p>
        </w:tc>
        <w:tc>
          <w:tcPr>
            <w:tcW w:w="4040" w:type="dxa"/>
            <w:vAlign w:val="bottom"/>
            <w:tcBorders>
              <w:bottom w:val="single" w:sz="8" w:color="CCECFF"/>
            </w:tcBorders>
            <w:shd w:val="clear" w:color="auto" w:fill="CFF0FC"/>
          </w:tcPr>
          <w:p>
            <w:pPr>
              <w:spacing w:after="0"/>
              <w:rPr>
                <w:sz w:val="20"/>
                <w:szCs w:val="20"/>
                <w:color w:val="auto"/>
              </w:rPr>
            </w:pPr>
          </w:p>
        </w:tc>
      </w:tr>
      <w:tr>
        <w:trPr>
          <w:trHeight w:val="232"/>
        </w:trPr>
        <w:tc>
          <w:tcPr>
            <w:tcW w:w="5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Ordinary Shares, $0.000000005 par value per share*</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41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Trading, but only in connection with the American Depositary Shares.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cs="Times New Roman" w:eastAsia="Times New Roman" w:hAnsi="Times New Roman"/>
          <w:sz w:val="12"/>
          <w:szCs w:val="12"/>
          <w:color w:val="auto"/>
        </w:rPr>
        <w:t>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2"/>
          <w:szCs w:val="12"/>
          <w:color w:val="auto"/>
        </w:rPr>
        <w:t>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The number of shares of Registrant’s Ordinary Shares outstanding as of May 19, 2026, was 91,567,009,533.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80" w:type="dxa"/>
            <w:vAlign w:val="bottom"/>
            <w:gridSpan w:val="8"/>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PART I</w:t>
            </w:r>
          </w:p>
        </w:tc>
        <w:tc>
          <w:tcPr>
            <w:tcW w:w="2400" w:type="dxa"/>
            <w:vAlign w:val="bottom"/>
            <w:tcBorders>
              <w:top w:val="single" w:sz="8" w:color="CCEEFF"/>
              <w:bottom w:val="single" w:sz="8" w:color="0000EE"/>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FINANCIAL INFORMATION</w:t>
            </w:r>
          </w:p>
        </w:tc>
        <w:tc>
          <w:tcPr>
            <w:tcW w:w="722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66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rPr>
                <w:sz w:val="15"/>
                <w:szCs w:val="15"/>
                <w:color w:val="auto"/>
              </w:rPr>
            </w:pPr>
          </w:p>
        </w:tc>
        <w:tc>
          <w:tcPr>
            <w:tcW w:w="52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38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CCEEFF"/>
              <w:bottom w:val="single" w:sz="8" w:color="auto"/>
            </w:tcBorders>
            <w:gridSpan w:val="5"/>
          </w:tcPr>
          <w:p>
            <w:pPr>
              <w:jc w:val="center"/>
              <w:ind w:right="470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in this Quarterly Report on Form 10-Q (“Form 10-Q”) to “Akari,” the “company,” the “Company,” “we,” “us,” “our” or similar designations refer to Akari Therapeutics, Plc and its subsidiaries, taken together. All trademarks, service marks, trade names and registered marks used in this report are trademarks, trade names or registered marks of their respective owners.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made in this Form 10-Q concerning the contents of any agreement, contract or other document are summaries of such agreements, contracts or documents and are not complete description of all of their terms. If we filed any of these agreements, contracts or documents as exhibits to this Form 10-Q or to any previous filing with the Securities and Exchange Commission (“SEC”), you may read the document itself for a complete understanding of its terms.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and the documents we incorporate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included or incorporated in this report regarding, among other things, our cash resources and projected cash runway, financial position, our strategy, strategic alternatives, future operations, clinical trials (including, without limitation, the anticipated timing enrollment, and results thereof), collaborations, intellectual property, future revenues, projected costs, fundraising and/or financing plans, prospects, developments relating to our competitors and our industry, the timing or likelihood of regulatory actions, filings and approvals for our current and future drug candidates, and the plans and objectives of management are forward-looking statements. The words “believes,” “anticipates,” “estimates,” “plans,” “expects,” “intends,” “may,” “could,” “should,” “potential,” “likely,” “projects,” “intend,” “continue,” “will,” “schedule,” “would,” “aim,” “contemplate,” “estimate,” and similar expressions are intended to identify forward-looking statements, although not all forward-looking statements contain these identifying words. We cannot guarantee that we will actually achieve the plans, intentions, or expectations disclosed in our forward-looking statements and you should not place undue reliance on our forward-looking statements. These forward-looking statements involve known and unknown risks, uncertainties, and other factors, which may be beyond our control, and which may cause the actual results, performance, or achievements of the Company to be materially different from future results, performance, or achievements expressed or implied by such forward-looking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number of important factors that could cause our actual results to differ materially from those indicated or implied by forward-looking statements. These important factors include those set forth under Part I, “Item 1A. Risk Factors” in our Annual Report on Form 10-K for the year ended December 31, 2025 (our “Form 10-K”) and Part II “Item 1A. Risk Factors” of this Form 10-Q and in our other disclosures and filings we have made with the SEC. These factors and the other cautionary statements made in this Form 10-Q and the documents we incorporate by reference should be read as being applicable to all related forward-looking statements whenever they appear in this Form 10-Q and the documents we incorporate by reference.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forward-looking statements represent our estimates only as of the date that this Form 10-Q is filed with the SEC and should not be relied upon as representing our estimates as of any subsequent date. All forward-looking statements included in this Form 10-Q are made as of the date hereof and are expressly qualified in their entirety by this cautionary notice. We disclaim any intention or obligation to update or revise any forward-looking statement, whether as a result of new information, future events, or otherwise, except as may be required by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5,203</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8,430</w:t>
            </w:r>
          </w:p>
        </w:tc>
        <w:tc>
          <w:tcPr>
            <w:tcW w:w="80" w:type="dxa"/>
            <w:vAlign w:val="bottom"/>
          </w:tcPr>
          <w:p>
            <w:pPr>
              <w:spacing w:after="0"/>
              <w:rPr>
                <w:sz w:val="18"/>
                <w:szCs w:val="18"/>
                <w:color w:val="auto"/>
              </w:rPr>
            </w:pPr>
          </w:p>
        </w:tc>
      </w:tr>
      <w:tr>
        <w:trPr>
          <w:trHeight w:val="22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30,300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34,000</w:t>
            </w:r>
          </w:p>
        </w:tc>
        <w:tc>
          <w:tcPr>
            <w:tcW w:w="80" w:type="dxa"/>
            <w:vAlign w:val="bottom"/>
            <w:shd w:val="clear" w:color="auto" w:fill="CCEEFF"/>
          </w:tcPr>
          <w:p>
            <w:pPr>
              <w:spacing w:after="0"/>
              <w:rPr>
                <w:sz w:val="19"/>
                <w:szCs w:val="19"/>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8,641</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 of $0.000000005 par value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Authorized: 761,963,201,733 ordinary shares at March 31, 2026, and December 31,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issued and outstanding: 91,567,009,533 and 90,536,879,533 ordinary shares at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234,811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234,318</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59,342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59,342</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(279,005)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(264,550)</w:t>
            </w:r>
          </w:p>
        </w:tc>
      </w:tr>
      <w:tr>
        <w:trPr>
          <w:trHeight w:val="210"/>
        </w:trPr>
        <w:tc>
          <w:tcPr>
            <w:tcW w:w="67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1,459</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2,169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on other intangible assets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3,700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8,430</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gridSpan w:val="2"/>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current liabilities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(15,314)</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151"/>
        </w:trPr>
        <w:tc>
          <w:tcPr>
            <w:tcW w:w="678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ordinary shares used in computing net loss per share –– basic</w:t>
            </w: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26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118,757,013,401</w:t>
            </w: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54,588,283,841</w:t>
            </w:r>
          </w:p>
        </w:tc>
        <w:tc>
          <w:tcPr>
            <w:tcW w:w="80" w:type="dxa"/>
            <w:vAlign w:val="bottom"/>
            <w:shd w:val="clear" w:color="auto" w:fill="CCEEFF"/>
          </w:tcPr>
          <w:p>
            <w:pPr>
              <w:spacing w:after="0"/>
              <w:rPr>
                <w:sz w:val="22"/>
                <w:szCs w:val="22"/>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(14,455)</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6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2"/>
        </w:trPr>
        <w:tc>
          <w:tcPr>
            <w:tcW w:w="2800" w:type="dxa"/>
            <w:vAlign w:val="bottom"/>
          </w:tcPr>
          <w:p>
            <w:pPr>
              <w:spacing w:after="0"/>
              <w:rPr>
                <w:sz w:val="21"/>
                <w:szCs w:val="21"/>
                <w:color w:val="auto"/>
              </w:rPr>
            </w:pPr>
          </w:p>
        </w:tc>
        <w:tc>
          <w:tcPr>
            <w:tcW w:w="16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2800" w:type="dxa"/>
            <w:vAlign w:val="bottom"/>
          </w:tcPr>
          <w:p>
            <w:pPr>
              <w:spacing w:after="0"/>
              <w:rPr>
                <w:sz w:val="19"/>
                <w:szCs w:val="19"/>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90,536,879,533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234,318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(264,550)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2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 capital related</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net of issuance costs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1,030,130,000</w:t>
            </w:r>
          </w:p>
        </w:tc>
        <w:tc>
          <w:tcPr>
            <w:tcW w:w="2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29"/>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(14,455)</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(14,455)</w:t>
            </w: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91,567,009,533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234,811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(279,005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8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2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2"/>
        </w:trPr>
        <w:tc>
          <w:tcPr>
            <w:tcW w:w="2800" w:type="dxa"/>
            <w:vAlign w:val="bottom"/>
          </w:tcPr>
          <w:p>
            <w:pPr>
              <w:spacing w:after="0"/>
              <w:rPr>
                <w:sz w:val="21"/>
                <w:szCs w:val="21"/>
                <w:color w:val="auto"/>
              </w:rPr>
            </w:pPr>
          </w:p>
        </w:tc>
        <w:tc>
          <w:tcPr>
            <w:tcW w:w="16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2800" w:type="dxa"/>
            <w:vAlign w:val="bottom"/>
          </w:tcPr>
          <w:p>
            <w:pPr>
              <w:spacing w:after="0"/>
              <w:rPr>
                <w:sz w:val="19"/>
                <w:szCs w:val="19"/>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53,186,919,523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212,706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(247,252)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2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 capital related</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net of issuance costs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4,566,062,000</w:t>
            </w:r>
          </w:p>
        </w:tc>
        <w:tc>
          <w:tcPr>
            <w:tcW w:w="2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Pr>
          <w:p>
            <w:pPr>
              <w:spacing w:after="0"/>
              <w:rPr>
                <w:sz w:val="20"/>
                <w:szCs w:val="20"/>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57,752,981,523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215,506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(250,957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(14,455)</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305</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debt issuance costs on convertible notes payable</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current liabilities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(167)</w:t>
            </w:r>
          </w:p>
        </w:tc>
        <w:tc>
          <w:tcPr>
            <w:tcW w:w="6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on other intangible assets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3,700</w:t>
            </w:r>
          </w:p>
        </w:tc>
        <w:tc>
          <w:tcPr>
            <w:tcW w:w="6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8,430</w:t>
            </w:r>
          </w:p>
        </w:tc>
        <w:tc>
          <w:tcPr>
            <w:tcW w:w="6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(230)</w:t>
            </w:r>
          </w:p>
        </w:tc>
        <w:tc>
          <w:tcPr>
            <w:tcW w:w="6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benefit</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(859)</w:t>
            </w:r>
          </w:p>
        </w:tc>
        <w:tc>
          <w:tcPr>
            <w:tcW w:w="6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exchange gains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931</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net of issuance costs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188</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deposits received for share subscriptions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short-term financing arrangement</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5,263</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5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32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cash and restricted cash</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2,768</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costs in accrued expenses</w:t>
            </w:r>
          </w:p>
        </w:tc>
        <w:tc>
          <w:tcPr>
            <w:tcW w:w="1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Financing costs for deposits received from share subscriptions in accounts payable</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of share capital for settlement of related party debt</w:t>
            </w:r>
          </w:p>
        </w:tc>
        <w:tc>
          <w:tcPr>
            <w:tcW w:w="50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auto"/>
            </w:tcBorders>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Short-term financing arrangement</w:t>
            </w:r>
          </w:p>
        </w:tc>
        <w:tc>
          <w:tcPr>
            <w:tcW w:w="5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180" w:type="dxa"/>
            <w:vAlign w:val="bottom"/>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Akari Therapeutics, Plc, (the “Company” or “Akari”) is incorporated in the United Kingdom. The Company is developing next-generation antibody-drug conjugates (“ADCs”) through its proprietary technology platform that enables the Company to establish a pipeline of ADC candidates that target and kill cancer cells and stimulate the immune system, all while overcoming the limitations inherent in existing therapies. The Company’s activities since inception have consisted of performing research and development activities and raising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preclinical and clinical stage companies, including dependence on key individuals, uncertainty of product development and generation of revenues, dependence on outside sources of capital, risks associated with clinical trials of products, dependence on third-party collaborators for research and development operations, need for marketing authorization of products, risks associated with protection of intellectual property, and competition with larger, better-capitalized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fully execute its business plan, the Company will need, among other things, to complete its research and development efforts, preclinical and regulatory activities, and clinical trials. These activities may take several years and will require significant operating and capital expenditures in the foreseeable future. There can be no assurance that these activities will be successful. If the Company is not successful in these activities it could delay, limit, reduce or terminate its preclinical studies or other discovery and research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the rules and regulations of the SEC and assumes that the Company will continue to operate as a going concern. Accordingly, they do not include all the information and footnotes required by U.S. GAAP for complete financial statements. These condensed consolidated financial statements have been prepared on the same basis as the Company’s annual consolidated financial statements and, in the opinion of management, reflect all adjustments, including normal and recurring adjustments, which the Company considers necessary for the fair statement of financial information. The results of operations and comprehensive loss for the three months ended March 31, 2026, are not necessarily indicative of expected results for the fiscal year ending December 31, 2026, or any other future period. The condensed consolidated balance sheet at December 31, 2025, has been derived from the audited consolidated financial statements at that date. These unaudited condensed consolidated financial statements should be read in conjunction with the Company’s audited consolidated financial statements as of December 31, 2025 and notes thereto included in its Form 10-K, as filed with the SEC on March 30,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may affect the reported amounts of assets, liabilities, expenses and related disclosures. Significant estimates and assumptions reflected in these condensed consolidated financial statements include, but are not limited to, the valuation of warrant liabilities and the impairment assessment of goodwill and indefinite-lived intangible assets. The Company bases its estimates on historical experience, known trends and other market-specific or other relevant factors that it believes to be reasonable under the circumstances. Estimates are periodically reviewed considering changes in circumstances, facts and experience. Changes in estimates are recorded in the period in which they become known. Actual results may differ from those estimates or assumptions.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follows the provisions of Financial Accounting Standards Board (“FASB”) Accounting Standards Codification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which requires management to assess the Company’s ability to continue as a going concern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 after the date the consolidated financial statements are issued.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incurred substantial losses and negative cash flows since inception and had an accumulated deficit of $279.0 million as of March 31, 2026. The Company’s cash balance of $2.8 million as of March 31, 2026 is not sufficient to fund its operations for the one-year period after the date these condensed consolidated financial statements are issued. These factors raise substantial doubt about the Company’s ability to continue as a going concern for at least a one-year period following the issuance of these condensed consolidated financial statements. The accompanying unaudited condensed consolidated financial statements have been prepared on a going concern basis, which contemplates the realization of assets and satisfaction of liabilities in the normal course of business. The condensed consolidated financial statements do not include any adjustments related to the recoverability and classification of recorded asset amounts or the amounts and classification of liabilities that might result from the outcome of this uncertainty.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anticipates incurring additional losses until such time, if ever, that it can generate significant sales of its product candidates currently in research and development. The Company is subject to a number of risks and uncertainties similar to those of other companies of the same size within the biotechnology industry, such as uncertainty of preclinical research outcomes, uncertainty of additional funding, and history of operating losses. Substantial additional financing will be needed by the Company to fund its operations. Management is currently evaluating different strategies to obtain the required funding for future operations. These strategies may include but are not limited to private placements and/or public offerings of equity and/or debt securities, and strategic research and development collaborations and/or similar arrangements. There can be no assurance that these future funding efforts will be successful.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 Value Change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December 15, 2025, shareholders approved to sub-divide each of the ordinary shares with a par value of $0.0001 into one ordinary share with a par value $0.000000005 and 19,999 deferred shares with a par value $0.000000005 (the “Deferred Shares”), with such shares having the rights and being subject to the restrictions as set out in the new Articles of Association. As a result, the number of outstanding ordinary shares of the Company remained unchanged and there were 1,429,517,750,998,477 Deferred Shares created. The deferred shares were repurchased and cancelled, and the Company issued 10 ordinary shares in connection with a buyback agreement. The rights attached to the ordinary shares, with a par value of $ 0.000000005 (including voting and dividend rights and rights on a return of capital) are identical in all respects to the previously outstanding ordinary shares with a par value of $0.0001. The Deferred Shares have limited rights and are effectively valueless. There is no direct effect on the value of an ADS.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Ratio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March 31, 2026, the Company changed the ratio of its American Depositary Shares (“ADS”) to ordinary shares, par value $0.000000005 per share, from one ADS representing 2,000 ordinary shares to a new ratio of one ADS representing 80,000 ordinary shares (the “ADS Ratio Change”). All ADS and per ADS amounts in the accompanying condensed consolidated financial statements and notes thereto have been retroactively adjusted for all periods presented to reflect the ADS Ratio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Continued Listing Rules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24, 2025, the Company received a letter (“Letter”) from the Listing Qualifications Staff (the “Staff”) of The Nasdaq Capital Market (“Nasdaq”) indicating that the Company was not in compliance with Nasdaq Listing Rule 5550(a)(2) because the bid price for the Company’s ADS had closed below $1.00 per share (the “Minimum Bid Requirement”) for the previous thirty consecutive business days. In accordance with Nasdaq Listing Rule 5810(c)(3)(A), the Company had 180 calendar days from the date of such notice, or until May 25, 2026, to regain compliance with the Minimum Bid Requirement. Following the successful completion of the ADS Ratio Change, the Company received a letter from the Nasdaq Office of General Counsel notifying the Company that the Company has regained compliance with the Minimum Bid Requirement.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unaudited condensed consolidated financial statements are described in the Company’s audited consolidated financial statements for the year ended December 31, 2025, included in the Company’s Annual Report on Form 10-K filed with the SEC on March 30, 2026. There have been no material changes in the Company’s significant accounting policies during the three months ended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new accounting pronouncements are issued by the FASB or other standard setting bodies. Recently issued standards typically do not require adoption until a future effective date. Prior to their effective date, we evaluate the pronouncements to determine the potential effects of adoption on our accompanying unaudited consolidated financial statements. During the first three months of 2026, there were no new accounting pronouncements issued or effective or are expected to have a material impact on our accompanying unaudited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goodwill and IPR&amp;D assets: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r>
      <w:tr>
        <w:trPr>
          <w:trHeight w:val="223"/>
        </w:trPr>
        <w:tc>
          <w:tcPr>
            <w:tcW w:w="4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AKTX-101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63"/>
        </w:trPr>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Borders>
              <w:bottom w:val="single" w:sz="8" w:color="CCEEFF"/>
            </w:tcBorders>
          </w:tcPr>
          <w:p>
            <w:pPr>
              <w:spacing w:after="0"/>
              <w:rPr>
                <w:sz w:val="22"/>
                <w:szCs w:val="22"/>
                <w:color w:val="auto"/>
              </w:rPr>
            </w:pPr>
          </w:p>
        </w:tc>
      </w:tr>
      <w:tr>
        <w:trPr>
          <w:trHeight w:val="237"/>
        </w:trPr>
        <w:tc>
          <w:tcPr>
            <w:tcW w:w="4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70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Net Book</w:t>
            </w:r>
          </w:p>
        </w:tc>
      </w:t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4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AKTX-101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PHP-303</w:t>
            </w:r>
          </w:p>
        </w:tc>
        <w:tc>
          <w:tcPr>
            <w:tcW w:w="12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IPR&amp;D and goodwill are tested for impairment at least annually, or more frequently if impairment indicators are present. Due to a sustained decline in the Company’s ADS price and market capitalization during the three months ended March 31, 2026, a quantitative impairment test was triggered for both the Company’s IPR&amp;D and goodwill.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first reviewed its AKTX-101 IPR&amp;D asset considering updated development and valuation assumptions. The updated assumptions included refinements to the expected development timelines and probability weighted cash flows to reflect current market conditions, capital availability considerations, and the heightened uncertainty inherent in advancing the program under these conditions, as well as an increase in the discount rate to reflect the overall risk profile of the asset. The estimated fair value of the IPR&amp;D asset was determined using the multi-period excess earnings method and requires management judgment with respect to forecasted gross revenues, revenue and expense growth rates, timing of clinical trials and overall probability of success, and the selection and use of an appropriate discount rate. As a result of the impairment analysis, the Company recorded an impairment charge of $3.7 million. There was no impairment charge recognized on the AKTX 101-IPR&amp;D asset during the three months ended March 31,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then performed a quantitative goodwill impairment assessment as of March 31, 2026. The fair value of the reporting unit was estimated using an income approach based on a discounted cash flow model and was compared to the Company’s overall market capitalization. As a result, the estimated fair value of the reporting unit was determined to be lower than its carrying value, and the Company recorded a non-cash goodwill impairment charge of $8.4 million in the condensed consolidated statement of operations and comprehensive loss during the three months ended March 31, 2026. There was no impairment charge recognized on goodwill during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2026, and December 31, 2025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8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2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128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Convertible Notes and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2024 Note Payable</w:t>
      </w:r>
    </w:p>
    <w:p>
      <w:pPr>
        <w:sectPr>
          <w:pgSz w:w="11900" w:h="16838" w:orient="portrait"/>
          <w:cols w:equalWidth="0" w:num="1">
            <w:col w:w="11240"/>
          </w:cols>
          <w:pgMar w:left="320" w:top="684" w:right="339" w:bottom="10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assumed a promissory note originally issued by Peak Bio in September 2024 in the amount of $0.3 million (the “September 2024 Note”) to its former California landlord. Due to the short-term nature of the September 2024 Note, the Company concluded that its carrying value approximated its fair value as of the Closing on November 14, 2024. The September 2024 Note bears no interest and is payable over twenty equal monthly instalments beginning on November 1, 2024, and expiring on June 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outstanding balance on the September 2024 Note was less than $0.1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2023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Company assumed convertible promissory notes issued by Peak Bio in April 2023 in the principal amount of a total of $0.7 million (the “April 2023 Convertible Notes”). The April 2023 Convertible Notes permitted the holder to convert the outstanding principal and accrued interest at any time at a price of $81.60 per ADS (representing $0.00102 per underlying Ordinary Share of the Company). Due to the short-term nature of the April 2023 Convertible Notes, the Company concluded that its carrying value approximated its fair value as of the Closing on November 14, 2024. The April 2023 Convertible Notes were originally due on October 31, 2024, and bore interest at a default rate of 10% per annum.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the embedded conversion and other features within the April 2023 Convertible Notes to determine whether any of the embedded features should be bifurcated from the host instrument and accounted for as a derivative at fair value. Based on management’s evaluation, the Company determined that the April 2023 Convertible Notes were not issued at a substantial premium and none of the embedded features were required to be bifurcated and accounted for separately.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2025, the Company entered into a letter agreement (the “April 2023 Convertible Notes and Warrants Amendment”) with the holders of the April 2023 Convertible Notes to (i) extend the maturity date of the April 2023 Convertible Notes to August 31, 2026, (ii) amend the conversion price of the April 2023 Convertible Notes to $32.40 per ADS (representing $0.000405 per underlying Ordinary Share) and permit the holders of the April 2023 Convertible Notes to voluntarily convert, in whole or in part, the outstanding principal and accrued but unpaid interest on the April 2023 Convertible Notes into ADSs at any time, (iii) extend the expiration date of warrants held by the April 2023 Convertible Note holders (“April 2023 Peak Bio Convertible Noteholder Warrants”) from April 28, 2028 to August 31, 2030, and (iv) amend the exercise price of the April 2023 Peak Bio Convertible Noteholder Warrants to $32.40 per ADS (representing $0.000405 per underlying Ordinary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April 2023 Convertible Notes and Warrants Amendment as a debt extinguishment in accordance with ASC 470. As the present value of the future cash flows was substantially different than the net carrying value of the original debt, a loss on debt extinguishment of less than $0.1 million was recognized during the three months ended September 30, 2025. The discount of less than $0.1 million is being amortized as interest expense over the term of the convertible notes using the effective interest method.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in connection with the acquisition of Peak Bio, the April 2023 Peak Bio Convertible Noteholder Warrants were accounted for as a liability, as the April 2023 Peak Bio Convertible Noteholder Warrants were not considered indexed to the Company’s own stock in the manner contemplated by ASC 815-40-15, </w:t>
      </w:r>
      <w:r>
        <w:rPr>
          <w:rFonts w:ascii="Times New Roman" w:cs="Times New Roman" w:eastAsia="Times New Roman" w:hAnsi="Times New Roman"/>
          <w:sz w:val="18"/>
          <w:szCs w:val="18"/>
          <w:i w:val="1"/>
          <w:iCs w:val="1"/>
          <w:color w:val="auto"/>
        </w:rPr>
        <w:t>Determining Whether an Instrument (or Embedded Feature) Is Indexed to an Entity’s Own Stock</w:t>
      </w:r>
      <w:r>
        <w:rPr>
          <w:rFonts w:ascii="Times New Roman" w:cs="Times New Roman" w:eastAsia="Times New Roman" w:hAnsi="Times New Roman"/>
          <w:sz w:val="18"/>
          <w:szCs w:val="18"/>
          <w:color w:val="auto"/>
        </w:rPr>
        <w:t>. Following the April 2023 Convertible Notes and Warrants Amendment on September 19, 2025, the Company determined that the amended April 2023 Peak Bio Convertible Noteholder Warrants for the issuance of 8,560 ADSs (equivalent to 684,840,000 Ordinary Shares) met the requirements to be considered indexed to the Company’s own stock and therefore were reclassified to equity. The fair value of the warrant liability, immediately prior to the modification, was $109,700 at the reclassification date. The Company determined the fair value of the April 2023 Peak Bio Convertible Noteholder Warrants after the modification, using a Black Scholes Option Pricing Model was $191,800 based on a stock price of $0.81, expected volatility of 86%, a risk-free rate of 3.68% and an expected term of 5 years. The change in fair value of $82,100 was recognized as additional paid in capital during the three months ended September 30,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interest expense, including amortization of the discount of less than $0.1 million, in each of the three months ended March 31, 2026, and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accrued interest on the April 2023 Convertible Notes of less than $0.1 million are presented within accrued expenses in the Company’s condensed unaudited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was authorized to issue up to 761,963,201,733 ordinary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each ADS represents 80,000 ordinary shares (the “ADS Ratio”). All ADS and per ADS amounts in the accompanying condensed consolidated financial statements reflect the ADS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White Lion Ordinary Share Purchase and Registration Rights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2025, the Company entered into an Ordinary Share Purchase Agreement (the “ELOC Purchase Agreement”) and a Registration Rights Agreement (the “White Lion RRA”) with White Lion Capital, LLC, a Delaware limited liability company (“White Lion”).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of the Ordinary Shares that the Company elects to sell to the Purchaser pursuant to the ELOC Purchase Agreement will be determined based on the type of Purchase Notice issued, as follows: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1: The lowest traded price of the ADSs on the notice date.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2: 97% of the lowest traded price of the ADSs during the two hours following the Purchaser’s confirmed receipt of the notice.</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Purchase: 97% of the lowest daily VWAP during a two-day valuation period for the first $12,500,000 of closings, and 98% thereafter.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ELOC Purchase Agreement, the Company and the Purchaser entered into a Registration Rights Agreement, dated August 29, 2025 (the “Registration Rights Agreement”), pursuant to which the Company agreed to file a registration statement on Form S-1 (or any successor form) with the SEC within thirty (30) calendar days following August 29, 2025, to register the resale of the maximum number of Registrable Securities (including the Ordinary Shares, Commitment Shares, and ADSs representing such shares) permitted by applicable SEC rules.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ELOC Purchase Agreement was accounted for as a standby equity purchase agreement under ASC 815 as it includes an embedded put option and an embedded forward option. The put option is recognized on inception, and the forward option is recognized upon issuance of notice for the sale of the Company’s Common Stock. The fair value of the derivative liability related to the embedded put option (“White Lion Derivative Liability) was $100,000 at the inception of the agreement. The fair value of the White Lion Derivative Liability was determined using a Monte Carlo simulation based on the projected stock price of $0.76, expected volatility of 97%, risk-free rate of 3.52% and discounted at 71.3% for the probability of the Company timely filing all SEC documents and meeting the NASDAQ listing requirements. At March 31, 2026, the White Lion Derivative Liability was remeasured and had no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 outstanding purchase notices issued to White 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2025 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Company closed a registered direct offering (the “December 2025 Registered Direct Offering”) with institutional and non-institutional investors providing for the issuance and sale 19,057,418,000 ordinary shares of the Company (238,217 ADSs) and series G warrants (“Series G Warrants”) to purchase up to 19,057,418,000 ordinary shares (238,217 ADSs). The combined purchase price per each ADS and accompanying Series G was $15.53.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December 2025 Registered Direct Offering, the Company entered into a side letter with one non-institutional investor pursuant to which the Company agreed to issue 1,030,130,000 ordinary shares (12,876 ADSs) and Series G Warrants to purchase 1,030,130,000 ordinary shares (12,876 ADSs), not included in the total closing amount above, upon receipt of subscription amount of approximately $0.2 million, which such subscription amount was received on January 15, 2026. The closing of this issuance occurred on January 30,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G Warrants are exercisable at a price of $15.53 per ADS. The Series G Warrants became exercisable on March 2, 2026, and have a 5-year term. The Company determined that the Series G Warrants met all of the criteria for equity classification. Accordingly, each of the Series G Warrants issued on the January 30, 2026 closing was recorded as a component of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the second closing of the December 2025 Registered Direct Offering was approximately $0.2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various previous financing transactions, the Company has issued warrants to purchase the Company’s ordinary shares represented by ADSs. The Company accounts for such warrants as equity instruments or liabilities, depending on the specific terms of the warrant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Pr>
          <w:p>
            <w:pPr>
              <w:spacing w:after="0"/>
              <w:rPr>
                <w:sz w:val="21"/>
                <w:szCs w:val="21"/>
                <w:color w:val="auto"/>
              </w:rPr>
            </w:pPr>
          </w:p>
        </w:tc>
        <w:tc>
          <w:tcPr>
            <w:tcW w:w="32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Warrant ADSs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tcPr>
          <w:p>
            <w:pPr>
              <w:spacing w:after="0"/>
              <w:rPr>
                <w:sz w:val="21"/>
                <w:szCs w:val="21"/>
                <w:color w:val="auto"/>
              </w:rPr>
            </w:pPr>
          </w:p>
        </w:tc>
      </w:tr>
      <w:tr>
        <w:trPr>
          <w:trHeight w:val="201"/>
        </w:trPr>
        <w:tc>
          <w:tcPr>
            <w:tcW w:w="4740" w:type="dxa"/>
            <w:vAlign w:val="bottom"/>
          </w:tcPr>
          <w:p>
            <w:pPr>
              <w:spacing w:after="0"/>
              <w:rPr>
                <w:sz w:val="17"/>
                <w:szCs w:val="17"/>
                <w:color w:val="auto"/>
              </w:rPr>
            </w:pPr>
          </w:p>
        </w:tc>
        <w:tc>
          <w:tcPr>
            <w:tcW w:w="1700" w:type="dxa"/>
            <w:vAlign w:val="bottom"/>
            <w:tcBorders>
              <w:top w:val="single" w:sz="8" w:color="auto"/>
            </w:tcBorders>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Equity-classified Warrants</w:t>
            </w: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 Investor Prefunded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301,653</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2025 Investor Prefunded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41,250</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Investor Prefunded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2025 Series G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315,177</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302,301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15.53</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3/2/2031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 Note Exchange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237,564</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237,564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3/2/2031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2025 Placement Agent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12,604</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April 2023 Peak Bio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8,559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8/30/2030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 Series A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2025 Investor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105,285</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3/6/2030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2025 Series A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28,036</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4/25/2026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April 2025 Investor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232,258</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232,258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4/25/2030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2025 Series E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78,124</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October 2025 Series F Investor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78,124</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2025 Placement Agent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3,123</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10/14/2030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May 2024 Investor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100,739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May-Jun 2027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Placement Agent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3,298</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3/27/2029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May 2024 Placement Agent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8,056</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5/31/2029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2024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42,832</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90.40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 2027-Jun 2028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Placement Agent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1,058</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165.20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10/6/2028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4,637</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3/10/2027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2022 Placement Agent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364</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3/10/2027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2021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2,681</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1/4/2027</w:t>
            </w: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December 2021 Placement Agent</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12/29/2026</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2021 Placement Agent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487</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1,856.00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7/7/2026</w:t>
            </w: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1,607,326</w:t>
            </w:r>
          </w:p>
        </w:tc>
        <w:tc>
          <w:tcPr>
            <w:tcW w:w="3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1,603,311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Liability-classified Warrants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April 2023 Peak Bio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4/28/2028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2022 Series B Investor Warrants</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12,988</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9/14/2029</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2022 Peak Bio Warrants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39,432</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1,567.20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11/1/2027</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73,527</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outstanding</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1,680,853</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warrants activity for the three months ended March 31, 2026:</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2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6260" w:type="dxa"/>
            <w:vAlign w:val="bottom"/>
          </w:tcPr>
          <w:p>
            <w:pPr>
              <w:spacing w:after="0"/>
              <w:rPr>
                <w:sz w:val="20"/>
                <w:szCs w:val="20"/>
                <w:color w:val="auto"/>
              </w:rPr>
            </w:pP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1,676,838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12,876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(8,861)</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stock option activity, with each ADS representing 80,000 Ordinary Shares, under the 2014 Equity Incentive Plan, 2023 Equity Incentive Plan and the Peak Bio 2022 Long Term Incentive Plan for the three months ended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 ADSs</w:t>
            </w:r>
          </w:p>
        </w:tc>
        <w:tc>
          <w:tcPr>
            <w:tcW w:w="22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170,137</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47.66</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(6,891)</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674.23</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 (1)</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154,496</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34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2"/>
                <w:szCs w:val="22"/>
                <w:color w:val="auto"/>
              </w:rPr>
            </w:pPr>
          </w:p>
        </w:tc>
      </w:tr>
      <w:tr>
        <w:trPr>
          <w:trHeight w:val="197"/>
        </w:trPr>
        <w:tc>
          <w:tcPr>
            <w:tcW w:w="4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at March 31, 2026</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88,604</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108.48</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10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stock options as well as unvested stock options for which the requisite service period has not been rendered but that are expected to vest based on achievement of a service condition.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ADSs for those options that had exercise prices lower than the fair value of the Company’s ordinary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ADS of options granted during each of the three months ended March 31, 2026 and 2025 was $0 and $46.48,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to determine the fair value of share options granted were as follows, presented on a weighted average basis:</w:t>
      </w:r>
    </w:p>
    <w:p>
      <w:pPr>
        <w:spacing w:after="0" w:line="17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140" w:type="dxa"/>
            <w:vAlign w:val="bottom"/>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spacing w:after="0"/>
              <w:rPr>
                <w:sz w:val="20"/>
                <w:szCs w:val="20"/>
                <w:color w:val="auto"/>
              </w:rPr>
            </w:pPr>
          </w:p>
        </w:tc>
      </w:tr>
      <w:tr>
        <w:trPr>
          <w:trHeight w:val="421"/>
        </w:trPr>
        <w:tc>
          <w:tcPr>
            <w:tcW w:w="62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2023 Plan provides for the award of RSUs. RSUs are granted to employees that are subject to time-based vesting conditions that lapse between one year and four years from date of grant, assuming continued employment. Compensation cost for time-based RSUs, which generally vest only on continued service, is recognized on a straight-line basis over the requisite service period based on the grant date fair value of the RSUs, which is derived from the Nasdaq closing price of the Company’s ADSs on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for the three months ended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Time-based Awards</w:t>
            </w:r>
          </w:p>
        </w:tc>
      </w:tr>
      <w:tr>
        <w:trPr>
          <w:trHeight w:val="187"/>
        </w:trPr>
        <w:tc>
          <w:tcPr>
            <w:tcW w:w="69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00" w:type="dxa"/>
            <w:vAlign w:val="bottom"/>
          </w:tcPr>
          <w:p>
            <w:pPr>
              <w:spacing w:after="0"/>
              <w:rPr>
                <w:sz w:val="16"/>
                <w:szCs w:val="16"/>
                <w:color w:val="auto"/>
              </w:rPr>
            </w:pPr>
          </w:p>
        </w:tc>
      </w:tr>
      <w:tr>
        <w:trPr>
          <w:trHeight w:val="216"/>
        </w:trPr>
        <w:tc>
          <w:tcPr>
            <w:tcW w:w="6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Number of ADSs</w:t>
            </w: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shares at December 31, 2025</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tcPr>
          <w:p>
            <w:pPr>
              <w:spacing w:after="0"/>
              <w:rPr>
                <w:sz w:val="24"/>
                <w:szCs w:val="2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197"/>
        </w:trPr>
        <w:tc>
          <w:tcPr>
            <w:tcW w:w="6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Nonvested shares at March 31, 2026</w:t>
            </w:r>
          </w:p>
        </w:tc>
        <w:tc>
          <w:tcPr>
            <w:tcW w:w="1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1,622 ADSs (129,792,000 ordinary shares) underlying vested time-based RSUs were pending issuance. The fair value of time-based RSUs that vested during the three months ended March 31, 2026 was less than $0.1 million. The Company had no activity in restricted stock awards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previously awarded performance-based stock options (“PSOs”) for the purchase of an aggregate of 9,375 ADSs of the Company outstanding to consultants. Vesting of PSOs granted to consultants were based upon attainment of certain research and licensing agreements and were subject to continuous service by the consultants. During the three months ended March 31, 2026, all PSOs expired or were forfeited and as a result, the Company has not recognized stock-based compensation expense associated with these PSOs. During the three months ended March 31, 2025, all outstanding PSOs were not probable of vesting and as a result, the Company did not recognize any stock-based compensation associated with these PSOs.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condensed consolidated statements of operations and comprehensive loss in the same manner in which the award recipients’ payroll costs are classified or in which the award recipients’ service payments are classified. Total stock-based compensation expense attributable to share-based payments made to employees, consultants and directors included in operating expenses in the Company’s condensed consolidated statements of operations and comprehensive loss for the three months ended March 31, 2026 and 2025, was as follows: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62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cost related to unvested stock options was $3.2 million, which is expected to be recognized over a weighted average period of 2.6 years. As of March 31, 2026, no unrecognized compensation cost remains related to time-based RSUs.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measured at fair value on a recurring basis and indicates the level of the fair value hierarchy used to determine such values: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 - April 2023 Peak Bio Warrants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 - April 2023 Peak Bio Warrants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4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liability – September 2022 Series B</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 - ELOC</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24"/>
                <w:szCs w:val="24"/>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197"/>
        </w:trPr>
        <w:tc>
          <w:tcPr>
            <w:tcW w:w="406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10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Level 3 liabilities consist of the September 2022 Warrants, the November 2022 Peak Bio Warrants and the April 2023 Peak Bio Warrants, which were determined to be liability-classified instruments, and a derivative liability related to the ELOC Purchase Agreement (described in Note 6). There were no transfers between Level 1, Level 2, and Level 3 during the three months ended March 31, 2026 and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Level 3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warrant liabilities measured at fair value on a recurring basis using unobservable inputs (Level 3) during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April</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Peak Bio</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Peak Bio</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Warrant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Derivative</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liability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liability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warrant liabilities is based on significant inputs not observable in the market, which represents a Level 3 measurement within the fair value hierarchy. The fair value of the September 2022 Series B Warrants, the November 2022 Peak Bio Warrants and the April 2023 Bio Peak Warrants was determined using the Black-Scholes Option Pricing Model, which uses various assumptions, including (i) fair value of the Company’s ADSs, (ii) exercise price of the warrant, (iii) expected term of the warrant, (iv) expected volatility and (v) expected risk-free interest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assumptions used for the fair value calculations of liability classified warrants as of March 31, 2026 and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400" w:type="dxa"/>
            <w:vAlign w:val="bottom"/>
          </w:tcPr>
          <w:p>
            <w:pPr>
              <w:spacing w:after="0"/>
              <w:rPr>
                <w:sz w:val="16"/>
                <w:szCs w:val="16"/>
                <w:color w:val="auto"/>
              </w:rPr>
            </w:pPr>
          </w:p>
        </w:tc>
        <w:tc>
          <w:tcPr>
            <w:tcW w:w="98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0" w:type="dxa"/>
            <w:vAlign w:val="bottom"/>
            <w:gridSpan w:val="4"/>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w:t>
            </w:r>
          </w:p>
        </w:tc>
        <w:tc>
          <w:tcPr>
            <w:tcW w:w="140" w:type="dxa"/>
            <w:vAlign w:val="bottom"/>
          </w:tcPr>
          <w:p>
            <w:pPr>
              <w:spacing w:after="0"/>
              <w:rPr>
                <w:sz w:val="16"/>
                <w:szCs w:val="16"/>
                <w:color w:val="auto"/>
              </w:rPr>
            </w:pPr>
          </w:p>
        </w:tc>
        <w:tc>
          <w:tcPr>
            <w:tcW w:w="64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April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1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November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April</w:t>
            </w:r>
          </w:p>
        </w:tc>
        <w:tc>
          <w:tcPr>
            <w:tcW w:w="16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24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Peak Bio</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Peak Bio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Peak Bio</w:t>
            </w:r>
          </w:p>
        </w:tc>
        <w:tc>
          <w:tcPr>
            <w:tcW w:w="2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Peak Bio</w:t>
            </w:r>
          </w:p>
        </w:tc>
      </w:tr>
      <w:tr>
        <w:trPr>
          <w:trHeight w:val="238"/>
        </w:trPr>
        <w:tc>
          <w:tcPr>
            <w:tcW w:w="440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20"/>
                <w:szCs w:val="20"/>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0"/>
                <w:szCs w:val="20"/>
                <w:color w:val="auto"/>
              </w:rPr>
            </w:pPr>
          </w:p>
        </w:tc>
        <w:tc>
          <w:tcPr>
            <w:tcW w:w="12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 w:type="dxa"/>
            <w:vAlign w:val="bottom"/>
          </w:tcPr>
          <w:p>
            <w:pPr>
              <w:spacing w:after="0"/>
              <w:rPr>
                <w:sz w:val="20"/>
                <w:szCs w:val="20"/>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(ADS)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1,567.20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680.00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1,567.20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derivative liability related to the ELOC Purchase Agreement (described in Note 6) was originally valued using the Monte Carlo simulation model and as such is considered to be a Level 3 fair value measurement, as the fair value was determined based on significant inputs not observable in the market. The significant unobservable inputs used to determine the fair value were the projected volume weighed average share price at each trading date, and the use of the maximum draw down potential. The fair value of the ELOC Purchase Agreement on December 31, 2025 was $230,000 based on the projected stock price of $0.29, expected volatility of 102.5%, risk-free rate of 3.46% and discounted at 71.3% for the probability of the Company timely filing all SEC documents and meeting the NASDAQ listing requirements. As of March 31, 2026, the Company determined the fair value of the ELOC Purchase Agreement to have no value based on the projected stock price of $5.15, expected volatility of 106%, risk-free rate of 3.73% and discounted at 71.3% for the probability of the Company timely filing all SEC documents and meeting the NASDAQ listing requirements. The difference of $0.2 million was recognized as a change of fair value of derivative liability in the unaudited condensed consolidated statement of operations and comprehensive loss during the three months ended March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goodwill and IPR&amp;D are measured at fair value on a nonrecurring basis. These assets are reported at carrying value and are remeasured annually or whenever events or changes in circumstances indicate that their carrying value may not be fully recoverable. When impairment has occurred, the Company records the required charges and adjusts the carrying value as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the consolidated financial statements in the Company’s 2025 Form 10-K. As a result of the impairment analysis performed during the three months ended March 31, 2026, using Level 3 inputs, the Company determined its AKTX-101 IPR&amp;D asset to be $30.3 million and recorded a non-cash impairment charge of $3.7 million to its AKTX-101 IPR&amp;D asset and determined the fair value of its reporting unit to be less than its carrying value by an amount that resulted in a non-cash impairment charge of $8.4 million to goodwill. There was no impairment charge to the Company’s goodwill and IPR&amp;D assets during the three months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securities, presented based on amounts outstanding at the end of each reporting period, have been excluded from the calculation of diluted net loss per share because including them would have had an anti-dilutive impact: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12,359,566,000</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14,390,286,688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129,792,000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56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106,949,459,200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29,325,911,500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56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1,832,118,000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121,270,935,200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43,716,198,188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15</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at the end of each interim period to determine the best estimate of its annual effective tax rate and then apply that rate in providing for income taxes on a current year-to-date (interim period) basis. The Company recorded an income tax benefit of $0.8 million for the three months ended March 31, 2026 in connection with the impairment loss on other intangible assets. For the three months ended March 31, 2026 and 2025, the Company recorded no tax expense or benefit due to the expected current year loss and its historical losses. The Company has not recorded its net deferred tax asset as of either March 31, 2026 or December 31, 2025 because it maintained a full valuation allowance against all deferred tax assets as of these dates as management has determined that it is not more likely than not that the Company will realize these future tax benefits. As of March 31, 2026 and December 31, 2025, the Company had no uncertain tax positions.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making operating decisions and allocating resources,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assembled a portfolio of preclinical product candidates that aim to develop next-generation precision bifunctional ADCs for the treatment of cancer. The Company has not generated any revenue since its inception and does not expect to generate any revenue from the sale of products in the near future. The Company primarily incurs expenses in connection with the research and development of its product candidates as well as general and administrative costs consisting of salaries and related costs for personnel in executive, finance, and administrative functions, as well as consulting, restructuring and merger-related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consolidated statements of operations and comprehensive loss. In addition, the CODM is regularly provided the following significant segment expense categories which are reviewed against budgeted expectations to assist in resource allocation decision-making:</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ADC preclinical development</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HSCT-TMA (AK901) clinical program expense</w:t>
            </w:r>
          </w:p>
        </w:tc>
        <w:tc>
          <w:tcPr>
            <w:tcW w:w="36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external development expense</w:t>
            </w:r>
          </w:p>
        </w:tc>
        <w:tc>
          <w:tcPr>
            <w:tcW w:w="36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(1,883)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other intangible assets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36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8"/>
                <w:szCs w:val="18"/>
                <w:i w:val="1"/>
                <w:iCs w:val="1"/>
                <w:color w:val="auto"/>
              </w:rPr>
              <w:t>(1)</w:t>
            </w:r>
          </w:p>
        </w:tc>
        <w:tc>
          <w:tcPr>
            <w:tcW w:w="36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60" w:hanging="292"/>
        <w:spacing w:after="0" w:line="284" w:lineRule="auto"/>
        <w:tabs>
          <w:tab w:leader="none" w:pos="3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segment items include interest expense, change in fair value of warrant liabilities, change in fair value of derivative liability, and net foreign currency exchange gains (losses) as reported in the Company’s condensed consolidated statements of operations and comprehensive loss.</w:t>
      </w: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consolidated balance sheets with particular emphasis on the Company’s available liquidity, including its cash and restricted cash. All of the Company’s tangible assets are held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assumed an amount due to an entity in which the Company’s Chairman, Dr. Hoyoung Huh, is a director. As of March 31, 2026, and December 31, 2025, the amounts due totalled less than $0.1 million and are included in accounts payable in the Company’s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leases office space for our U.S. headquarters on a short-term basis. The Company leases its U.S. headquarters virtual office, located in Tampa, Florida, on a month-to-month basis. The Company also leases laboratory space, located in San Francisco, California, on a month-to-month basis and is cancellable anytime with 60 days’ notice. The Company is not party to any material lease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three months ended March 31, 2026, and 2025, the Company incurred lease costs of less than $0.1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an employee benefit plan under Section 401(k) of the Internal Revenue Code for its U.S.-based employees. The plan allows employees to make contributions up to a specified percentage of their compensation. Under the plan, the Company matches 100% of employees’ contributions up to 5% of the annual eligible compensation contributed by each employee, subject to Internal Revenue Code limitations.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adopted a defined contribution pension scheme which allows for U.K. employees to make contributions and provides U.K. employees with a Company contribution of 10% of compensation, subject to U.K.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 Company charged less than $0.1 million to operating expenses related to the Company’s contributions to employee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 Acquisition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assumed an assignment, license, development and commercialization agreement dated March 17, 2017 with Bayer (the “Bayer Acquisition Agreement”), to acquire from Bayer all right, title and interest in and to PHP-303, including each and every invention and any priority rights relating to its patents.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Bayer Acquisition Agreement, the Company is committed to pay certain development and regulatory milestones up to an aggregate amount of $23,500,000 and high single digit royalties based on the sale of products developed based on the licensed compound.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Either party may terminate the Bayer Acquisition Agreement upon prior written notice for the other party’s material breach that remains uncured for a specified period of time or insolvency. Bayer agreed not to assert any Bayer intellectual property rights that were included in the scope of the Bayer Acquisition Agreement against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zero expenses under this agreement as no milestones have been achieved since inception, and no products were sold from inception through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2025, a former employee of Peak Bio CA, Inc. subsidiary filed a claim stating that they are entitled to certain discretionary bonuses from 2022 totalling less than $0.1 million. The Company denies the former employee’s claim and intends to defend itself.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settlement agreements with vendors for the settlement of outstanding payables. This resulted in a gain on settlement of current liabilities of less than $0.1 million, which is reflected in the unaudited condensed consolidated statement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unaudited condensed consolidated financial statements and accompanying notes included in Part I, Item 1 of this Form 10-Q;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audited consolidated financial statements and accompanying notes included in our Form 10-K, as well as the information contained under the heading “Management’s Discussion and Analysis of Financial Condition and Results of Operations” in our Form 10-K.</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that are subject to risks and uncertainties, including those discussed in the section titled “Risk Factors,” set forth in Item 1A of our Form 10-K, that could cause actual results to differ materially from historical results or anticipated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oncology company developing next generation ADCs designed around novel payload biology. Our platform is anchored by PH1, a spliceosome modulating payload that in preclinical settings has demonstrated cytotoxic activity and robust activation of the immune system to attack cancer. Our business is focused on advancing our lead program, AKTX-101, through IND enabling activities and clinical readiness while maintaining the ability to expand the PH1 based ADC pipeline, as capital and priorities permit. We also have a second program, including AKTX-102, a CEACAM5 directed ADC program, that is earlier in development.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differentiated ADC discovery and development platform (our “ADC Platform”) enables us to generate a range of ADC product candidates that pair our novel payloads with biologically validated antibody targets prevalent in cancer tumors. We believe that our focus on the development of ADCs that utilize our novel payloads may allow us to develop ADCs with benefits that include: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cancer-killing properties, or cytotoxicity;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activation of the immune system to drive greater and more enduring efficacy in treating cancer sustained duration of response of tumor regression or elimination;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be used in combination with checkpoint inhibitors to potentially deliver synergistic efficacy results (more than additive) to drive potential longer-term cancer remissions;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tumor resistance leading to super outcomes;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safety and tolerability relative to ADCs that are currently available.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lead product candidate is AKTX-101, a preclinical stage Trop-2-targeting ADC that combines PH1 with a Trop-2 targeting antibody. Trop-2 is an antigen that is expressed in a number of highly incident solid tumors, including lung, breast, bladder, head and neck, gastric, pancreatic, colon, prostate, and others. We aim to establish AKTX-101 as a best-in-class Trop-2-targeting ADC for the treatment of a variety of solid tumors.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activities since inception have consisted of performing research and development activities and raising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AKTX-101 IND-Enabling Plan and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near-term operational strategy remains focused on advancing AKTX-101 into IND-enabling activities and clinical readiness while maintaining the ability to expand our PH1-based ADC pipeline as capital and priorities permit. AKTX-101 is a preclinical Trop2–targeting ADC that combines PH1 with a proprietary non-cleavable linker and antibody construct. We are prioritizing the program’s path to Phase 1 clinical trials through the coordinated execution of GMP product supply and non-clinical data package workstreams that support IND/Phase 1 enabling activities.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Contract Development and Manufacturing Organizations (“CDMOs”) for development, scale-up, and GMP production of materials used in our research and development activities. In December 2025, we announced the initiation of GMP manufacturing activities for AKTX-101 and selected WuXi Biologics/XDC as our partner for this GMP product supply and related IND-enabling work. This milestone supports our timeline for our Phase 1 first-in-human study described in our public communications while we maintain an efficient, high-quality, and reliable virtual manufacturing model for clinical-grade supply. In December 2025 we publicly described that based on our anticipated GMP product supply and IND-enabling activities and planning, we are projected to advance AKTX-101 into clinical trials by middle of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Publication at the American Society of Clinical Oncology (ASCO) 2026 Annual Meeting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21, 2026, we issued a press release announcing our abstract titled </w:t>
      </w:r>
      <w:r>
        <w:rPr>
          <w:rFonts w:ascii="Times New Roman" w:cs="Times New Roman" w:eastAsia="Times New Roman" w:hAnsi="Times New Roman"/>
          <w:sz w:val="18"/>
          <w:szCs w:val="18"/>
          <w:i w:val="1"/>
          <w:iCs w:val="1"/>
          <w:color w:val="auto"/>
        </w:rPr>
        <w:t>Combination synergy of spliceosome modulator ADC with a K-Ras inhibitor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KRAS–mutated pancreatic cancers </w:t>
      </w:r>
      <w:r>
        <w:rPr>
          <w:rFonts w:ascii="Times New Roman" w:cs="Times New Roman" w:eastAsia="Times New Roman" w:hAnsi="Times New Roman"/>
          <w:sz w:val="18"/>
          <w:szCs w:val="18"/>
          <w:color w:val="auto"/>
        </w:rPr>
        <w:t>was accepted for online publication at the American Society of Clinical Oncology (ASCO) Annual Meeting 2026.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continued validation of our novel RNA splicing modulator payload platform for ADCs, and its broad potential in treating a wide range of cancer tumors, including those with KRAS mutations, a rapidly expanding therapeutic category. We believe this data highlights a growing body of evidence demonstrating that targeting RNA splicing in cancer cells could be a powerful way to attack even the most difficult cancers.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Ratio Change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2026, we completed our previously announced 2026 ADS Ratio Change, which changed the ratio of our ADSs to ordinary shares to a new ratio of one ADS representing 80,000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loss from operations increased by $12.2 million, as compared to the three months ended March 31, 2025, which was primarily due to a $12.1 million non-cash impairment on other intangible assets and goodwill. Our total operating expenses are set forth by category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w:t>
            </w:r>
          </w:p>
        </w:tc>
        <w:tc>
          <w:tcPr>
            <w:tcW w:w="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on other intangible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3,700</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8,430</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3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are charged to operations as incurred, and we incur both direct and indirect expenses for each of our programs. We track direct research and development expenses by preclinical program, which may include third-party costs such as CDMOs, contract laboratories, and consulting. We do not allocate indirect research and development expenses, which may include product development and manufacturing, clinical, medical, regulatory, laboratory (equipment and supplies), personnel, facility and other overhead costs, to specific programs.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total research and development expenses increased by approximately $0.6 million, as compared to the three months ended March 31, 2025. The following sets forth research and development expenses for the three months ended March 31, 2026 and 2025 by category: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5"/>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ADC preclinical development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development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ADC preclinical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expenses include external expenses that we incurred in connection with the discovery and pre-clinical development of our ADC platform and program(s) and primarily consist of payments to external vendors and consultants. In December 2025 we announced that based on our anticipated GMP product supply and IND-enabling activities and planning, we are projected to advance AKTX-101 into clinical trials by middle of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external development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expenses include external expenses to contract vendors that may be related to pre-clinical development activities, discontinued programs and unallocated expenses. The decrease of $0.2 million in expenses incurred during the three months ended March 31, 2026, as compared to the three months ended March 31, 2025, is primarily related to lower costs incurred related to our HSCT-TMA, PAS-nomacopan, and PHP-303 program. In December 2024, we announced our decision to suspend these programs and find a collaborative partner.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Personnel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expenses include compensation and related costs associated with employees. The $0.4 million decrease during the three months ended March 31, 2026, as compared to the three months ended March 31, 2025, is primarily due to decreases in non-cash stock-based compensation expense and lower cash-based salaries.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of our future research and development expenditures will be determined based on future funding.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total general and administrative costs decreased by approximately $0.5 million as compared to the three months ended March 31, 2025, primarily due to decreases non-cash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recognized non-cash impairment losses on goodwill, and in process research and development (“IPR&amp;D”) assets recorded in connection with our December 2024 merger with Peak Bio, Inc. The impairment assessment was triggered by the sustained decline in the Company’s market capitalization as of March 31, 2026, which required a reassessment of the carrying value of these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this assessment, goodwill was impaired based on the determination that the estimated fair value of the Company’s reporting unit was lower than its carrying value. In addition, management reassessed the valuation assumptions underlying the AKTX 101 IPR&amp;D asset, including expected development timelines, probability weighted cash flows, and discount rates, to reflect current market conditions, capital availability considerations, and the heightened uncertainty inherent in advancing the program under these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resulting IPR&amp;D impairment reflects the application of a risk adjusted valuation approach consistent with the available market evidence and the requirements of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on the financing of director and officer insurance premiums and the April 2023 Convertible Notes. Refer to Note 6 and Note 12 of our unaudited condensed consolidated financial statements included in this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may fluctuate from period to period due to changes in average interest-bearing loans and related interest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current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recognized a gain on settlement of current liabilities of approximately $0.2 million which relates to settlements with former vendors for outstanding payables. During the three months ended March 31, 2025, we recognized a gain on settlement of current liabilities of less than $0.1 million which related to an extinguishment of a $0.4 million promissory note assumed by the Company on November 14, 2024, in connection with our acquisition of Peak 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 in fair value of warrant liabilities represents non-cash warrant revaluation gains or losses related to the re-measurement of our liability-classified instruments, namely our September 2022 Warrants and the warrants we assumed on November 14, 2024, in connection with our acquisition of Peak Bio (the “Peak Bio Warrants”). Due to the nature of and inputs in the model used to assess the fair value of our outstanding September 2022 Warrants and Peak Bio Warrants, it is not unusual to experience significant fluctuations during each re-measurement period. These fluctuations may be due to a variety of factors, including changes in our stock price and changes in estimated stock price volatility over the remaining life of the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recorded a change in the fair value of warrant liabilities, representing a non-cash revaluation gain of less than $0.1 million, which was primarily driven by a decrease in our stock price. During the three months ended March 31, 2025, we recorded a change in the fair value of warrant liabilities, representing a non-cash revaluation loss of less than $0.1 million, which was driven by an increase in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recognized a non-cash revaluation gain of $0.2 million in relation to the embedded derivative in the White Lion ELOC, which was primarily attributable to the effect of the ADS Ratio Change. No such loss was recognized during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a net foreign currency exchange gain of less than $0.1 million and a foreign currency exchange loss of approximately $0.1 million, respectively. Exchange gains and losses can fluctuate significantly from period to period due to changes in exchange rates, as well as the volume and timing of expenditures and related payments denominated in foreign 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Applicable to Common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applicable to ordinary shareholders for the three months ended March 31, 2026, was $14.5 million, compared to net loss applicable to ordinary shareholders for the three months ended March 31, 2025 of $3.7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substantial losses, and we have primarily funded our operations with proceeds from the sale of equity securities, including ordinary shares, warrants and pre-funded warrants, and convertible notes. On March 31, 2026, we had $2.8 million in cash and an accumulated deficit of $279.0 million. To date, we have not generated any revenue.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devoted substantially all of our efforts to research and development, including clinical trials, and we have not commercialized any products. Our research and development activities, together with our general and administrative expenses, are expected to continue to result in substantial operating losses for the foreseeable future. These losses, among other things, have had and will continue to have an adverse effect on our shareholders’ equity, total assets and working capital. Due to the numerous risks and uncertainties associated with developing drug candidates and, if approved, commercial products, we are unable to predict the extent of any future losses, whether or when any of our drug candidates will become commercially available or when we will become profitable, if at all. Our future capital requirements will depend on many factors, including:</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and contributions we receive under future licensing, development and commercialization arrangements with respect to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development and expansion of our operational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securing manufacturing arrangements for clinical or commercial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contracting with third parties to provide sales and marketing capabilities for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our general and administrative expenses;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that we may incur under future in- and out-licensing arrangements relating to current or future product candidates.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do not have any commitments for future external funding. We will need to raise additional funds, and we may decide to raise additional funds even before we need such funds if the conditions for raising capital are available and/or favorable. Until we can generate significant recurring revenues, we expect to satisfy our future cash needs through debt or equity financings, credit facilities or by out-licensing arrangements of our product candidates. The sale of equity or convertible debt securities may result in dilution to our existing shareholders. The incurrence of indebtedness would result in increased fixed obligations and could also subject us to covenants that restrict our operations. We cannot be certain that additional funding, whether through grants, financings, credit facilities or out-licensing arrangements, will be available to us on acceptable terms, if at all. If sufficient funds are not available, we may be required to delay, reduce the scope of or eliminate research or development plans for, or commercialization efforts with respect to, one or more applications of our product candidates, or obtain funds through arrangements with collaborators or others that may require us to relinquish rights to certain potential products that we might otherwise seek to develop or commercialize independently.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White Lion Ordinary Share Purchase and Registration Rights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2025, the Company entered into the ELOC Purchase Agreement and White Lion RRA with White Lion Capital.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purchase price of the Ordinary Shares that the Company elects to sell to the Purchaser pursuant to the ELOC Purchase Agreement will be determined based on the type of Purchase Notice issued, as follows: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1: The lowest traded price of the ADSs on the notice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2: 97% of the lowest traded price of the ADSs during the two hours following the Purchaser’s confirmed receipt of the notice.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Purchase: 97% of the lowest daily VWAP during a two-day valuation period for the first $12,500,000 of closings, and 98%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ELOC Purchase Agreement, the Company and the Purchaser entered into a Registration Rights Agreement, dated August 29, 2025 (the “Registration Rights Agreement”), pursuant to which the Company agreed to file a registration statement on Form S-1 (or any successor form) with the SEC within thirty (30) calendar days following August 29, 2025, to register the resale of the maximum number of Registrable Securities (including the Ordinary Shares, Commitment Shares, and ADSs representing such shares) permitted by applicable SEC rules. The Company shall use its commercially reasonable efforts to have the registration statement declared effective as soon as practicable and to maintain its effectiveness during the Registration Period, which continues until all Registrable Securities are sold, the ELOC Purchase Agreement terminates and no Registrable Securities are held, or the securities cease to be Registrable Securities under specified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 outstanding purchase notices issued to White 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report, our existing cash is sufficient to fund our operations into June 2026. While we have additional funding activities in progress to fund our operations, we will need to raise additional capital to continue to fund our operations and service our obligations in the future. If we are unable to raise additional capital when needed, we will not be able to continue as a going concern. We do not currently have any products approved for sale and do not generate any revenue from product sales. We are currently seeking and expect to continue to seek additional funding through financings of equity and/or debt securities. We may also engage in strategic research and development collaborations, pre-clinical and clinical funding arrangements, the sale or license of technology assets, and/or other strategic alternatives.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Financing may not be available to us when we need it, or on favorable or acceptable terms, or at all. We could be required to seek funds through means that may require us to relinquish rights to some of our technologies, drug candidates or drugs that we would otherwise pursue on our own. In addition, if we raise additional funds by issuing equity securities, our then existing shareholders may experience dilution. The terms of any financing may adversely affect the holdings or the rights of existing shareholders. An equity financing that involves existing shareholders may cause a concentration of ownership. Debt financing, if available, may involve agreements that include covenants limiting or restricting our ability to take specific actions, such as incurring additional debt, making capital expenditures or declaring dividends, and are likely to include rights that are senior to the holders of our ordinary shares. Any additional debt or equity financing may contain terms which are not favorable to us or to our shareholders, such as liquidation and other preferences, or liens or other restrictions on our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raise additional capital when required or on acceptable terms, we may be required to:</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technology assets, including current product candidates, or relinquish or license on unfavorable terms, our rights to technologies or any of our product candidates that we otherwise would seek to develop or commercialize ourselves;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sale of our company to a third party at a price that may result in a loss on investment for our shareholders;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for bankruptcy or cease operations altogether.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Any of these events could have a material adverse effect on our business, operating results,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factors which will affect our ability to obtain funding are:</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receptivity of the capital markets to financings by biotechnology companies generally and companies with drug candidates and technologies similar to ours specifically;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receptivity of the capital markets to any in-licensing, product acquisition or other transaction we may enter into or attempt to enter into;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and clinical development activities in our drug candidates we develop on the timelines anticipated;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potentially competitive products and technologies and investors’ receptivity to our drug candidates we develop and the technology underlying them in light of competitive products and technologies;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increases in expenses or delays in clinical development may adversely impact our cash position and require additional funds or cost reductions.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recurring losses from operations incurred since inception, our expectation of continuing operating losses for the foreseeable future, negative operating cash flows for the foreseeable future, and the need to raise additional capital to finance its future operations, we have concluded that there is substantial doubt regarding our ability to continue as a going concern within one year after the date that our condensed consolidated financial statements, included in this Form 10-Q (such condensed consolidated financial statements, the “consolidated financial statements”) are issued. Because of these uncertainties, the accompanying consolidated financial statements have been prepared assuming that we will continue as a going concern, which contemplates the realization of assets and the satisfaction of liabilities in the normal course of business. As such, the accompanying consolidated financial statements do not reflect any adjustments relating to the recoverability and classification of recorded assets and liabilities that might be necessary if we are unable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(2,488)</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shd w:val="clear" w:color="auto" w:fill="CCEEFF"/>
          </w:tcPr>
          <w:p>
            <w:pPr>
              <w:spacing w:after="0"/>
              <w:rPr>
                <w:sz w:val="19"/>
                <w:szCs w:val="19"/>
                <w:color w:val="auto"/>
              </w:rPr>
            </w:pP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net cash used in operating activities for the periods presented consists primarily of our net loss adjusted for non-cash charges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components of working capital. The increase in cash used in operating activities during the three months ended March 31, 2026, as compared to the three months ended March 31, 2025, was primarily due to an increase in research and development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primarily consisted of the following:</w:t>
      </w:r>
    </w:p>
    <w:p>
      <w:pPr>
        <w:spacing w:after="0" w:line="22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 aggregate of $0.2 million in net proceeds received from the second closing of the December 2025 financing partially offset by $0.1 million of payments for our insurance premium financing and our promissory note;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 aggregate of $1.2 million in net proceeds received from the March 2025 Private Placement, an aggregate of $1.1 million received from advance deposits related to the second closing of the March 2025 Private Placement that occurred subsequent to March 31, 2025, partially offset by $0.5 million of payments related to our promissory notes and $0.1 million of payments for our insurance premium financing.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Financing Obligations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entered into a short-term financing arrangement with a third-party vendor to finance insurance premiums. The aggregate amount financed under this agreement was $0.5 million which is scheduled to be paid in monthly installments through October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outstanding convertible notes and promissory notes with third parties, assumed from the acquisition of Peak Bio Inc., as more fully described in Note 6 to our unaudited condensed consolidated financial statements appearing in this Form 10-Q. As of March 31, 2026, these obligations are expected to result in principal payments of approximately $0.7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a variety of agreements and financial commitments in the normal course of business. The terms generally provide us the option to cancel, reschedule and adjust our requirements based on our business needs, prior to the delivery of goods or performance of services. However, it is not possible to predict the amount of future payments under these agreements due to the conditional nature of our obligations and the unique facts and circumstances involved in each particular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unaudited condensed consolidated financial statements, which have been prepared in accordance with U.S. GAAP. In doing so, we must make estimates and assumptions that affect our reported amounts of assets, liabilities and expenses, as well as related disclosure of contingent assets and liabilities. On an ongoing basis, management evaluates its estimates and judgments, including, but not limited to, those related to (i) fair value of warrants classified as liabilities and (ii) impairment assessment of goodwill and other intangible assets.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regard an accounting estimate or assumption underlying our financial statements as a “critical accounting estimate” if:</w:t>
      </w:r>
    </w:p>
    <w:p>
      <w:pPr>
        <w:spacing w:after="0" w:line="225"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estimate or assumption is material due to the level of subjectivity and judgment necessary to account for highly uncertain matters or the susceptibility of such matters to change;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estimates and assumptions on financial condition or operating performance is material.</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Management’s Discussion and Analysis of Financial Condition and Results of Operations — Critical Accounting Estimates”</w:t>
      </w:r>
      <w:r>
        <w:rPr>
          <w:rFonts w:ascii="Times New Roman" w:cs="Times New Roman" w:eastAsia="Times New Roman" w:hAnsi="Times New Roman"/>
          <w:sz w:val="18"/>
          <w:szCs w:val="18"/>
          <w:color w:val="auto"/>
        </w:rPr>
        <w:t xml:space="preserve"> of our Form 10-K, for a discussion of significant estimates and assumptions made by our management as part of the preparation of this management’s discussion and analysis of financial condition and results of operations and accompanying condensed consolidated financial statements. There have been no material changes to our critical accounting estimates since December 31, 2025, except the estimates related to other intangible assets and goodwill as of March 31, 2026. Refer to Note 3 of our unaudited condensed consolidated financial statements included in Part I, Item 1 of this Form 10-Q for further details of our impairment assessment of goodwill and other intangibles assets as of March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under “Part II - Item 9A - Controls and Procedures” in our Annual Report on Form 10-K for the fiscal year ended December 31, 2025 (our “2025 Form 10-K”), management concluded that our internal control over financial reporting was not effective at the reasonable assurance level as of December 31, 2025, due to (i) lack of formalized controls over Information Technology and General Controls (QuickBooks) and (ii) lack of formalized designed and implemented internal controls (Purchase to Pay).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commenced remediation efforts in the quarter ending December 31, 2025, to address the material weaknesses, as well as other identified areas of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complete description of management’s remediation plan, see “Part II - Item 9A - Controls and Procedures” in our 2025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13a-15(f) and 15d-15(f) under the Exchange Act) as of March 31, 2026. In designing and evaluating our disclosure controls and procedures, management recognizes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and previously identified material weaknesses in internal control over financial reporting, our principal executive officer and principal financial officer concluded that our disclosure controls and procedures were not effective at a reasonable assurance level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Implementation of Remediation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began the implementation of the remediation efforts to our internal controls over financial reporting in order to remediate the control deficiencies that resulted in the material weaknesses as previously disclosed in our Form 10-K for the fiscal year ended December 31, 2025. We believe that the remediation steps disclosed under “Part II - Item 9A - Controls and Procedures” in our 2025 Form 10-K, will allow us to address the deficient controls within our internal control environment, which will facilitate the remediation of the material weaknesses.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began the implementation of these remediation efforts as described in our 2025 Form 10-K, we will not be able to consider the material weaknesses as remediated until the applicable remedial controls operate for a sufficient period of time and our management has concluded, through testing, that our controls are operating effectively. We, along with our Audit Committee, will continue to monitor and evaluate the effectiveness of these remedial actions and take further actions as deemed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to address the material weaknesses described in our 2025 Form 10-K, there were no changes in our internal control over financial reporting that occurred during the fiscal quarter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out of operations in the normal course of business, which we consider routine and incidental to our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13 of the Notes to our condensed consolidated financial statements related to commitments and contingencies,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Investing in our securities involves a high degree of risk. You should carefully consider the risks and uncertainties discussed within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our Form 10-K, together with all of the other information in this Form 10-Q, including the section “Management’s Discussion and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 and our unaudited condensed consolidated financial statements and related notes, before deciding whether to purchase any of our ADSs.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IPR&amp;D and future impairment of IPR&amp;D may have an adverse impact on our future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had in-process research and development (“IPR&amp;D”) of approximately $30.3 million, primarily relating to AKTX-101 and our ADC Platform. Our intangible assets have been previously impaired and remain subject to additional impairment analyses whenever an event or change in circumstances indicates the carrying amount of such an asset may not be recoverable. Events giving rise to impairment are difficult to predict and are an inherent risk in the pharmaceutical industry. Some of the potential risks that could result in further impairment of our IPR&amp;D include negative preclinical or clinical trial results, adverse regulatory developments, delay or failure to obtain regulatory approval, additional development costs, changes in the manner of our use or development of our product candidates, competition, earlier than expected loss of exclusivity, pricing pressures, higher operating costs, our inability to identify or enter into strategic partnerships, collaborations or out-licensing arrangements on acceptable terms or at all, geopolitical conflicts, changes in tax laws, prices that third parties are willing to pay for our IPR&amp;D or similar assets in an arm’s length transaction being less than the carrying value of our IPR&amp;D, declines in our market capitalization, and other adverse market and economic environment changes or trends. Any and all of these conditions are reasonably likely to exist in the future and materialization of these risks or other changes in circumstances may lead to significant impairment charges on our IPR&amp;D in the future, which could materially adversely affect our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have any sales of unregistered securities, other than as previously disclosed by us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adopted, modified or terminated a “Rule 10b5-1 trading arrangement” or a “non-Rule 10b5-1 trading arrangement,” as defined in Item 408(c) of Regulation S-K, which are intended to satisfy the affirmative defense conditions of Rule 10b5-1(c), during the fiscal quarter covered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260" w:type="dxa"/>
            <w:vAlign w:val="bottom"/>
            <w:tcBorders>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3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360" w:type="dxa"/>
            <w:vAlign w:val="bottom"/>
            <w:gridSpan w:val="4"/>
          </w:tcPr>
          <w:p>
            <w:pPr>
              <w:spacing w:after="0"/>
              <w:rPr>
                <w:sz w:val="17"/>
                <w:szCs w:val="17"/>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lnline XBRL Taxonomy Extension Schema With Embedded Linkbase Documents.</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both"/>
        <w:ind w:firstLine="8"/>
        <w:spacing w:after="0" w:line="250" w:lineRule="auto"/>
        <w:tabs>
          <w:tab w:leader="none" w:pos="2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arrangement.</w:t>
      </w:r>
    </w:p>
    <w:p>
      <w:pPr>
        <w:sectPr>
          <w:pgSz w:w="11900" w:h="16838" w:orient="portrait"/>
          <w:cols w:equalWidth="0" w:num="1">
            <w:col w:w="11240"/>
          </w:cols>
          <w:pgMar w:left="320" w:top="684" w:right="339" w:bottom="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Akari Therapeutics, Plc</w:t>
            </w: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Abizer Gaslightwala</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Abizer Gaslightwala</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tc>
        <w:tc>
          <w:tcPr>
            <w:tcW w:w="0" w:type="dxa"/>
            <w:vAlign w:val="bottom"/>
          </w:tcPr>
          <w:p>
            <w:pPr>
              <w:spacing w:after="0"/>
              <w:rPr>
                <w:sz w:val="1"/>
                <w:szCs w:val="1"/>
                <w:color w:val="auto"/>
              </w:rPr>
            </w:pPr>
          </w:p>
        </w:tc>
      </w:tr>
      <w:tr>
        <w:trPr>
          <w:trHeight w:val="432"/>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Kameel Farag</w:t>
            </w:r>
          </w:p>
        </w:tc>
        <w:tc>
          <w:tcPr>
            <w:tcW w:w="0" w:type="dxa"/>
            <w:vAlign w:val="bottom"/>
          </w:tcPr>
          <w:p>
            <w:pPr>
              <w:spacing w:after="0"/>
              <w:rPr>
                <w:sz w:val="1"/>
                <w:szCs w:val="1"/>
                <w:color w:val="auto"/>
              </w:rPr>
            </w:pPr>
          </w:p>
        </w:tc>
      </w:tr>
      <w:tr>
        <w:trPr>
          <w:trHeight w:val="187"/>
        </w:trPr>
        <w:tc>
          <w:tcPr>
            <w:tcW w:w="350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Kameel Farag</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Interim Chief Financial Officer</w:t>
            </w:r>
          </w:p>
        </w:tc>
        <w:tc>
          <w:tcPr>
            <w:tcW w:w="0" w:type="dxa"/>
            <w:vAlign w:val="bottom"/>
          </w:tcPr>
          <w:p>
            <w:pPr>
              <w:spacing w:after="0"/>
              <w:rPr>
                <w:sz w:val="1"/>
                <w:szCs w:val="1"/>
                <w:color w:val="auto"/>
              </w:rPr>
            </w:pP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Abizer Gaslightwala,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Akari Therapeutics, Plc;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Abizer Gaslightwala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Kameel Farag,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Akari Therapeutics, Plc;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Kameel Farag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Kameel Farag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Akari Therapeutics, Plc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225" w:lineRule="exact"/>
        <w:rPr>
          <w:rFonts w:ascii="Times New Roman" w:cs="Times New Roman" w:eastAsia="Times New Roman" w:hAnsi="Times New Roman"/>
          <w:sz w:val="18"/>
          <w:szCs w:val="18"/>
          <w:color w:val="auto"/>
        </w:rPr>
      </w:pPr>
    </w:p>
    <w:p>
      <w:pPr>
        <w:ind w:right="140" w:firstLine="332"/>
        <w:spacing w:after="0" w:line="499"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Abizer Gaslightwala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Akari Therapeutics, Plc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225" w:lineRule="exact"/>
        <w:rPr>
          <w:rFonts w:ascii="Times New Roman" w:cs="Times New Roman" w:eastAsia="Times New Roman" w:hAnsi="Times New Roman"/>
          <w:sz w:val="18"/>
          <w:szCs w:val="18"/>
          <w:color w:val="auto"/>
        </w:rPr>
      </w:pPr>
    </w:p>
    <w:p>
      <w:pPr>
        <w:ind w:right="140" w:firstLine="332"/>
        <w:spacing w:after="0" w:line="499"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Kameel Farag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Kameel Farag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2026-05-19T16:34:16Z</dcterms:created>
  <dcterms:modified xsi:type="dcterms:W3CDTF">2026-05-19T16:34:16Z</dcterms:modified>
</cp:coreProperties>
</file>