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2025</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Akari Therapeutics, Plc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45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001-36288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7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98-1034922</w:t>
            </w:r>
          </w:p>
        </w:tc>
      </w:tr>
      <w:tr>
        <w:trPr>
          <w:trHeight w:val="198"/>
        </w:trPr>
        <w:tc>
          <w:tcPr>
            <w:tcW w:w="2900" w:type="dxa"/>
            <w:vAlign w:val="bottom"/>
            <w:tcBorders>
              <w:top w:val="single" w:sz="8" w:color="auto"/>
            </w:tcBorders>
          </w:tcPr>
          <w:p>
            <w:pPr>
              <w:jc w:val="center"/>
              <w:ind w:left="69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8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9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22 Boston Wharf Road FL 7</w:t>
            </w:r>
          </w:p>
        </w:tc>
        <w:tc>
          <w:tcPr>
            <w:tcW w:w="2760" w:type="dxa"/>
            <w:vAlign w:val="bottom"/>
          </w:tcPr>
          <w:p>
            <w:pPr>
              <w:spacing w:after="0"/>
              <w:rPr>
                <w:sz w:val="24"/>
                <w:szCs w:val="24"/>
                <w:color w:val="auto"/>
              </w:rPr>
            </w:pPr>
          </w:p>
        </w:tc>
      </w:tr>
      <w:tr>
        <w:trPr>
          <w:trHeight w:val="245"/>
        </w:trPr>
        <w:tc>
          <w:tcPr>
            <w:tcW w:w="29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40" w:type="dxa"/>
            <w:vAlign w:val="bottom"/>
            <w:tcBorders>
              <w:bottom w:val="single" w:sz="8" w:color="auto"/>
            </w:tcBorders>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2760" w:type="dxa"/>
            <w:vAlign w:val="bottom"/>
            <w:tcBorders>
              <w:bottom w:val="single" w:sz="8" w:color="auto"/>
            </w:tcBorders>
          </w:tcPr>
          <w:p>
            <w:pPr>
              <w:spacing w:after="0"/>
              <w:rPr>
                <w:sz w:val="21"/>
                <w:szCs w:val="21"/>
                <w:color w:val="auto"/>
              </w:rPr>
            </w:pPr>
          </w:p>
        </w:tc>
      </w:tr>
      <w:tr>
        <w:trPr>
          <w:trHeight w:val="234"/>
        </w:trPr>
        <w:tc>
          <w:tcPr>
            <w:tcW w:w="2900" w:type="dxa"/>
            <w:vAlign w:val="bottom"/>
          </w:tcPr>
          <w:p>
            <w:pPr>
              <w:spacing w:after="0"/>
              <w:rPr>
                <w:sz w:val="20"/>
                <w:szCs w:val="20"/>
                <w:color w:val="auto"/>
              </w:rPr>
            </w:pPr>
          </w:p>
        </w:tc>
        <w:tc>
          <w:tcPr>
            <w:tcW w:w="55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(Address, including zip code, of Principal Executive Offices)</w:t>
            </w:r>
          </w:p>
        </w:tc>
        <w:tc>
          <w:tcPr>
            <w:tcW w:w="2760" w:type="dxa"/>
            <w:vAlign w:val="bottom"/>
          </w:tcPr>
          <w:p>
            <w:pPr>
              <w:spacing w:after="0"/>
              <w:rPr>
                <w:sz w:val="20"/>
                <w:szCs w:val="20"/>
                <w:color w:val="auto"/>
              </w:rPr>
            </w:pPr>
          </w:p>
        </w:tc>
      </w:tr>
      <w:tr>
        <w:trPr>
          <w:trHeight w:val="414"/>
        </w:trPr>
        <w:tc>
          <w:tcPr>
            <w:tcW w:w="2900" w:type="dxa"/>
            <w:vAlign w:val="bottom"/>
          </w:tcPr>
          <w:p>
            <w:pPr>
              <w:spacing w:after="0"/>
              <w:rPr>
                <w:sz w:val="24"/>
                <w:szCs w:val="24"/>
                <w:color w:val="auto"/>
              </w:rPr>
            </w:pPr>
          </w:p>
        </w:tc>
        <w:tc>
          <w:tcPr>
            <w:tcW w:w="55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(929) 274-7510</w:t>
            </w:r>
          </w:p>
        </w:tc>
        <w:tc>
          <w:tcPr>
            <w:tcW w:w="2760" w:type="dxa"/>
            <w:vAlign w:val="bottom"/>
          </w:tcPr>
          <w:p>
            <w:pPr>
              <w:spacing w:after="0"/>
              <w:rPr>
                <w:sz w:val="24"/>
                <w:szCs w:val="24"/>
                <w:color w:val="auto"/>
              </w:rPr>
            </w:pPr>
          </w:p>
        </w:tc>
      </w:tr>
    </w:tbl>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w:t>
            </w:r>
          </w:p>
        </w:tc>
      </w:tr>
      <w:tr>
        <w:trPr>
          <w:trHeight w:val="21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Pr>
          <w:p>
            <w:pPr>
              <w:spacing w:after="0"/>
              <w:rPr>
                <w:sz w:val="18"/>
                <w:szCs w:val="18"/>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exchange on which registered</w:t>
            </w:r>
          </w:p>
        </w:tc>
      </w:tr>
      <w:tr>
        <w:trPr>
          <w:trHeight w:val="194"/>
        </w:trPr>
        <w:tc>
          <w:tcPr>
            <w:tcW w:w="4500" w:type="dxa"/>
            <w:vAlign w:val="bottom"/>
            <w:shd w:val="clear" w:color="auto" w:fill="CFF0FC"/>
          </w:tcPr>
          <w:p>
            <w:pPr>
              <w:ind w:left="300"/>
              <w:spacing w:after="0" w:line="195" w:lineRule="exact"/>
              <w:rPr>
                <w:sz w:val="20"/>
                <w:szCs w:val="20"/>
                <w:color w:val="auto"/>
              </w:rPr>
            </w:pPr>
            <w:r>
              <w:rPr>
                <w:rFonts w:ascii="Times New Roman" w:cs="Times New Roman" w:eastAsia="Times New Roman" w:hAnsi="Times New Roman"/>
                <w:sz w:val="18"/>
                <w:szCs w:val="18"/>
                <w:color w:val="auto"/>
              </w:rPr>
              <w:t>American Depositary Shares, each representing 2,000</w:t>
            </w:r>
          </w:p>
        </w:tc>
        <w:tc>
          <w:tcPr>
            <w:tcW w:w="120" w:type="dxa"/>
            <w:vAlign w:val="bottom"/>
            <w:shd w:val="clear" w:color="auto" w:fill="CFF0FC"/>
          </w:tcPr>
          <w:p>
            <w:pPr>
              <w:spacing w:after="0"/>
              <w:rPr>
                <w:sz w:val="16"/>
                <w:szCs w:val="16"/>
                <w:color w:val="auto"/>
              </w:rPr>
            </w:pPr>
          </w:p>
        </w:tc>
        <w:tc>
          <w:tcPr>
            <w:tcW w:w="202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AKTX</w:t>
            </w:r>
          </w:p>
        </w:tc>
        <w:tc>
          <w:tcPr>
            <w:tcW w:w="100" w:type="dxa"/>
            <w:vAlign w:val="bottom"/>
            <w:shd w:val="clear" w:color="auto" w:fill="CFF0FC"/>
          </w:tcPr>
          <w:p>
            <w:pPr>
              <w:spacing w:after="0"/>
              <w:rPr>
                <w:sz w:val="16"/>
                <w:szCs w:val="16"/>
                <w:color w:val="auto"/>
              </w:rPr>
            </w:pPr>
          </w:p>
        </w:tc>
        <w:tc>
          <w:tcPr>
            <w:tcW w:w="450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Ordinary Shares</w:t>
            </w:r>
          </w:p>
        </w:tc>
        <w:tc>
          <w:tcPr>
            <w:tcW w:w="12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500" w:type="dxa"/>
            <w:vAlign w:val="bottom"/>
            <w:shd w:val="clear" w:color="auto" w:fill="CFF0FC"/>
          </w:tcPr>
          <w:p>
            <w:pPr>
              <w:spacing w:after="0"/>
              <w:rPr>
                <w:sz w:val="20"/>
                <w:szCs w:val="20"/>
                <w:color w:val="auto"/>
              </w:rPr>
            </w:pP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Ordinary Shares, par value $0.0001 per share*</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*Trading, but only in connection with the American Depositary Shares.</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below under Item 5.07, at the 2025 Annual General Meeting (the “Annual General Meeting”) of Akari Therapeutics, Plc (the “Company”), held on June 30, 2025, the Company’s shareholders approved an increase in the number of shares available for the grant of awards under the Company’s 2023 Equity Incentive Plan (the “2023 Plan”) by 11,026,000,000 ordinary shares (the equivalent of 5,513,000 American Depositary Shares (“ADSs”)) to 19,806,000,000 ordinary shares (the equivalent of 9,903,000 ADSs) plus such additional number of ordinary shares (up to 855,637,300 ordinary shares) subject to awards granted under the Celsus Therapeutics PLC 2014 Equity Incentive Plan (the “2014 Plan”), to the extent such awards are forfeited or cancelled, or expire unexercised.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the material terms of the 2023 Plan was included in the Company’s Definitive Proxy Statement filed with the Securities and Exchange Commission on June 6, 2025 (the “Proxy Statement”) under “Resolution 12: To generally and unconditionally authorize an increase in the number of shares available under the 2023 Plan” and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in the Proxy Statement does not purport to be complete, and is qualified in its entirety by reference to the full text of the 2023 Plan as amended by Amendment No. 2 to the Akari Therapeutics, PLC 2023 Equity Incentive Plan, a copy of which is included as Exhibit 10.1 hereto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30, 2025, the Company held its Annual General Meeting. Proxies were solicited pursuant to the Company’s Proxy Statement, with the Securities and Exchange Commission under Section 14(a) of the Securities Exchange Act of 1934, as amended. The number of ordinary shares entitled to vote at the Annual General Meeting was 65,229,461,523. The number of ordinary shares present or represented by valid proxy at the Annual General Meeting established a quorum for the Annual General Meeting. The Annual General Meeting duly proceeded in accordance with the provisions of the articles of association of the Company and all matters submitted to a vote of the Company’s shareholders at the Annual General Meeting were approved and the director nominees were elected.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below are final and reported in ordinary shares.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7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1A1A1A"/>
              </w:rPr>
              <w:t>Ordinary Resolution</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1A1A1A"/>
                <w:w w:val="96"/>
              </w:rPr>
              <w:t>For</w:t>
            </w:r>
          </w:p>
        </w:tc>
        <w:tc>
          <w:tcPr>
            <w:tcW w:w="192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6"/>
                <w:szCs w:val="16"/>
                <w:b w:val="1"/>
                <w:bCs w:val="1"/>
                <w:color w:val="1A1A1A"/>
              </w:rPr>
              <w:t>Against</w:t>
            </w:r>
          </w:p>
        </w:tc>
        <w:tc>
          <w:tcPr>
            <w:tcW w:w="166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1A1A1A"/>
              </w:rPr>
              <w:t>Abstain</w:t>
            </w:r>
          </w:p>
        </w:tc>
      </w:tr>
      <w:tr>
        <w:trPr>
          <w:trHeight w:val="57"/>
        </w:trPr>
        <w:tc>
          <w:tcPr>
            <w:tcW w:w="5760" w:type="dxa"/>
            <w:vAlign w:val="bottom"/>
            <w:tcBorders>
              <w:left w:val="single" w:sz="8" w:color="auto"/>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r>
      <w:tr>
        <w:trPr>
          <w:trHeight w:val="239"/>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receive the report of the Board of Directors and the accounts for the year ended</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rPr>
              <w:t>41,421,403,229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1A1A1A"/>
                <w:w w:val="99"/>
              </w:rPr>
              <w:t>56,560,000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488,000</w:t>
            </w:r>
          </w:p>
        </w:tc>
      </w:tr>
      <w:tr>
        <w:trPr>
          <w:trHeight w:val="203"/>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December 31, 2024, together with the report of the statutory auditor and the strategic</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10"/>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report.</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36"/>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approve, on an advisory-basis, the Board of Directors’ Remuneration Report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1A1A1A"/>
              </w:rPr>
              <w:t>27,472,675,229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528,262,000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1A1A1A"/>
              </w:rPr>
              <w:t>13,477,514,000</w:t>
            </w:r>
          </w:p>
        </w:tc>
      </w:tr>
      <w:tr>
        <w:trPr>
          <w:trHeight w:val="203"/>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(excluding  the  Board  of  Directors’  Remuneration  Policy),  as  set  out  in  the</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Company’s annual report and accounts for the financial year ended December 31,</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10"/>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2024.</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36"/>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re-elect Hoyoung Huh as a director of Akari, as a Class A Director as stated in</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1A1A1A"/>
              </w:rPr>
              <w:t>27,913,031,229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257,706,000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1A1A1A"/>
              </w:rPr>
              <w:t>13,307,714,000</w:t>
            </w:r>
          </w:p>
        </w:tc>
      </w:tr>
      <w:tr>
        <w:trPr>
          <w:trHeight w:val="210"/>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Article 18.2.1 of the Company’s articles of association (the “Articles”).</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36"/>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re-elect Robert Bazemore as a director of Akari, as a Class A Director as stated in</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rPr>
              <w:t>27,866,417,229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164,118,000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rPr>
              <w:t>13,447,916,000</w:t>
            </w:r>
          </w:p>
        </w:tc>
      </w:tr>
      <w:tr>
        <w:trPr>
          <w:trHeight w:val="210"/>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Article 18.2.1 of the Articles.</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36"/>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re-elect James Neal as a director of Akari, as a Class A Director as stated in</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rPr>
              <w:t>27,780,995,229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rPr>
              <w:t>397,490,000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rPr>
              <w:t>13,299,966,000</w:t>
            </w:r>
          </w:p>
        </w:tc>
      </w:tr>
      <w:tr>
        <w:trPr>
          <w:trHeight w:val="210"/>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Article 18.2.1 of the Articles.</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36"/>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re-elect Sandip I. Patel as a director of Akari, as a Class A Director as stated in</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1A1A1A"/>
              </w:rPr>
              <w:t>27,930,183,229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16,000,000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rPr>
              <w:t>13,532,268,000</w:t>
            </w:r>
          </w:p>
        </w:tc>
      </w:tr>
      <w:tr>
        <w:trPr>
          <w:trHeight w:val="210"/>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Article 18.2.1 of the Articles.</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36"/>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re-elect Samir R. Patel as a director of Akari, as a Class A Director as stated in</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rPr>
              <w:t>28,033,241,229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151,248,000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rPr>
              <w:t>13,293,962,000</w:t>
            </w:r>
          </w:p>
        </w:tc>
      </w:tr>
      <w:tr>
        <w:trPr>
          <w:trHeight w:val="210"/>
        </w:trPr>
        <w:tc>
          <w:tcPr>
            <w:tcW w:w="5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Article 18.2.1 of the Articles.</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1404"/>
        </w:trPr>
        <w:tc>
          <w:tcPr>
            <w:tcW w:w="57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9"/>
        </w:trPr>
        <w:tc>
          <w:tcPr>
            <w:tcW w:w="57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re-elect Abizer Gaslightwala as a director of Akari, as a Class A Director as stated</w:t>
            </w:r>
          </w:p>
        </w:tc>
        <w:tc>
          <w:tcPr>
            <w:tcW w:w="1900" w:type="dxa"/>
            <w:vAlign w:val="bottom"/>
            <w:tcBorders>
              <w:top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2B2B2B"/>
              </w:rPr>
              <w:t>28,003,287,229</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151,198,000</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rPr>
              <w:t>13,323,966,000</w:t>
            </w:r>
          </w:p>
        </w:tc>
      </w:tr>
      <w:tr>
        <w:trPr>
          <w:trHeight w:val="210"/>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 Article 18.2.1 of the Articles.</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70"/>
        </w:trPr>
        <w:tc>
          <w:tcPr>
            <w:tcW w:w="5760" w:type="dxa"/>
            <w:vAlign w:val="bottom"/>
            <w:tcBorders>
              <w:left w:val="single" w:sz="8" w:color="auto"/>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r>
      <w:tr>
        <w:trPr>
          <w:trHeight w:val="239"/>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ratify the appointment of BDO USA, P.C. as independent registered public</w:t>
            </w:r>
          </w:p>
        </w:tc>
        <w:tc>
          <w:tcPr>
            <w:tcW w:w="1900" w:type="dxa"/>
            <w:vAlign w:val="bottom"/>
            <w:tcBorders>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2B2B2B"/>
              </w:rPr>
              <w:t>41,446,115,229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32,200,000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136,000</w:t>
            </w:r>
          </w:p>
        </w:tc>
      </w:tr>
      <w:tr>
        <w:trPr>
          <w:trHeight w:val="210"/>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accounting firm of Akari for the year ending December 31, 2025.</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36"/>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re-appoint HaysMac LLP as statutory auditors of Akari to hold office until the</w:t>
            </w:r>
          </w:p>
        </w:tc>
        <w:tc>
          <w:tcPr>
            <w:tcW w:w="1900" w:type="dxa"/>
            <w:vAlign w:val="bottom"/>
            <w:tcBorders>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2B2B2B"/>
              </w:rPr>
              <w:t>41,244,329,229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179,188,000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rPr>
              <w:t>54,934,000</w:t>
            </w: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conclusion of the next annual general meeting at which accounts are laid before</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10"/>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Akari shareholders.</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36"/>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authorize the audit committee of the Board of Directors of Akari to fix the</w:t>
            </w:r>
          </w:p>
        </w:tc>
        <w:tc>
          <w:tcPr>
            <w:tcW w:w="1900" w:type="dxa"/>
            <w:vAlign w:val="bottom"/>
            <w:tcBorders>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2B2B2B"/>
              </w:rPr>
              <w:t>41,471,695,229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6,498,000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1A1A1A"/>
                <w:w w:val="99"/>
              </w:rPr>
              <w:t>258,000</w:t>
            </w:r>
          </w:p>
        </w:tc>
      </w:tr>
      <w:tr>
        <w:trPr>
          <w:trHeight w:val="210"/>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statutory auditors’ remuneration.</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36"/>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generally and unconditionally authorize an increase in the number of shares</w:t>
            </w:r>
          </w:p>
        </w:tc>
        <w:tc>
          <w:tcPr>
            <w:tcW w:w="1900" w:type="dxa"/>
            <w:vAlign w:val="bottom"/>
            <w:tcBorders>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2B2B2B"/>
              </w:rPr>
              <w:t>27,514,871,229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632,085,000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1A1A1A"/>
              </w:rPr>
              <w:t>13,331,495,000</w:t>
            </w: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available for the grant of awards under the 2023 Plan by 11,026,000,000 ordinary</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shares (the equivalent of 5,513,000 American Depositary Shares (“ADSs”)) to</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19,806,000,000 ordinary shares (the equivalent of 9,903,000 ADSs) plus such</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additional number of ordinary shares (up to 855,637,300 ordinary shares) subject to</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awards granted under the 2014 Plan, to the extent such awards are forfeited or</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10"/>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cancelled, or expire unexercised.</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36"/>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approve, on a non-binding, advisory basis, the compensation of our named</w:t>
            </w:r>
          </w:p>
        </w:tc>
        <w:tc>
          <w:tcPr>
            <w:tcW w:w="1900" w:type="dxa"/>
            <w:vAlign w:val="bottom"/>
            <w:tcBorders>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2B2B2B"/>
              </w:rPr>
              <w:t>27,983,922,229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188,498,000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1A1A1A"/>
              </w:rPr>
              <w:t>13,306,031,000</w:t>
            </w:r>
          </w:p>
        </w:tc>
      </w:tr>
      <w:tr>
        <w:trPr>
          <w:trHeight w:val="210"/>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executive officers (“NEOs”) as disclosed in the Proxy Statement.</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36"/>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approve the time-vested one time grant stock option awards over 225,000 ADSs</w:t>
            </w:r>
          </w:p>
        </w:tc>
        <w:tc>
          <w:tcPr>
            <w:tcW w:w="1900" w:type="dxa"/>
            <w:vAlign w:val="bottom"/>
            <w:tcBorders>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2B2B2B"/>
              </w:rPr>
              <w:t>27,512,696,229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634,230,000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1A1A1A"/>
              </w:rPr>
              <w:t>13,331,525,000</w:t>
            </w: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(representing 450,000,000 ordinary shares) granted, conditional on shareholder</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approval, to each of certain of the Company’s directors (being Hoyoung Huh,</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Raymond Prudo-Chlebosz, Robert Bazemore, James Neal, Sandip I. Patel and Samir</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 Patel) on March 20, 2025 (the “Stock Option Awards”), which would represent, in</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aggregate, time-vested one time grant options over 1,350,000 ADSs (representing</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2,700,000,000 ordinary shares) (4.2% of the Company’s current issued share capital)</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with each of the Stock Option Awards vesting 25% on March 20, 2025, 25% at</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December 31, 2025 and the remaining 50% vesting monthly over the next 24 months</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10"/>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36"/>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That, in accordance with section 551 of the U.K. Companies Act 2006, our directors</w:t>
            </w:r>
          </w:p>
        </w:tc>
        <w:tc>
          <w:tcPr>
            <w:tcW w:w="1900" w:type="dxa"/>
            <w:vAlign w:val="bottom"/>
            <w:tcBorders>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2B2B2B"/>
              </w:rPr>
              <w:t>40,641,456,229</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B2B2B"/>
                <w:w w:val="99"/>
              </w:rPr>
              <w:t>671,412,000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1A1A1A"/>
              </w:rPr>
              <w:t>165,583,000</w:t>
            </w: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or any duly authorized committee of the directors be generally and unconditionally</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authorized to allot shares in Akari and to grant rights to subscribe for or to convert</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any security into shares in Akari up to an aggregate nominal amount of USD</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20,000,000 for a period expiring (unless otherwise renewed, varied or revoked by</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Akari at a general meeting) on June 30, 2030 (the “General Allotment Proposal”),</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save that Akari may, before such expiry, make offers or agreements which would or</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might require such shares to be allotted or such rights to be granted after such expiry</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and the directors may allot such shares or grant such rights in pursuance of such</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2"/>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offers or agreements notwithstanding that the authority conferred by this resolution</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has expired; and this resolution revokes and replaces all unexercised authorities</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previously granted to the directors to allot shares or grant rights to subscribe for or</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convert any security into shares, but without prejudice to any allotment of shares or</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03"/>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grant of rights already made, offered or agreed to be made pursuant to such</w:t>
            </w:r>
          </w:p>
        </w:tc>
        <w:tc>
          <w:tcPr>
            <w:tcW w:w="19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10"/>
        </w:trPr>
        <w:tc>
          <w:tcPr>
            <w:tcW w:w="5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authorities.</w:t>
            </w: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60"/>
        </w:trPr>
        <w:tc>
          <w:tcPr>
            <w:tcW w:w="576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1405"/>
        </w:trPr>
        <w:tc>
          <w:tcPr>
            <w:tcW w:w="57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 w:name="page4"/>
    <w:bookmarkEnd w:id="3"/>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4225" cy="2110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21107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6"/>
          <w:szCs w:val="16"/>
          <w:b w:val="1"/>
          <w:bCs w:val="1"/>
          <w:color w:val="1A1A1A"/>
        </w:rPr>
        <w:t>Special Resolution</w:t>
      </w:r>
    </w:p>
    <w:p>
      <w:pPr>
        <w:spacing w:after="0" w:line="142" w:lineRule="exact"/>
        <w:rPr>
          <w:sz w:val="20"/>
          <w:szCs w:val="20"/>
          <w:color w:val="auto"/>
        </w:rPr>
      </w:pPr>
    </w:p>
    <w:p>
      <w:pPr>
        <w:jc w:val="both"/>
        <w:ind w:left="100"/>
        <w:spacing w:after="0" w:line="267" w:lineRule="auto"/>
        <w:rPr>
          <w:sz w:val="20"/>
          <w:szCs w:val="20"/>
          <w:color w:val="auto"/>
        </w:rPr>
      </w:pPr>
      <w:r>
        <w:rPr>
          <w:rFonts w:ascii="Times New Roman" w:cs="Times New Roman" w:eastAsia="Times New Roman" w:hAnsi="Times New Roman"/>
          <w:sz w:val="16"/>
          <w:szCs w:val="16"/>
          <w:color w:val="auto"/>
        </w:rPr>
        <w:t>That, conditional the General Allotment Proposal being duly passed, in accordance with section 570 of the U.K. Companies Act 2006, the directors of Akari (or any duly authorized committee of the directors of Akari) be generally empowered to allot equity securities (as defined in section 560 of the U.K. Companies Act 2006) for cash pursuant to the authorization conferred on them by the General Allotment Proposal as if section 561 of the U.K. Companies Act 2006 and any pre-emption provisions in the Articles (or howsoever otherwise arising) did not apply to the allotment for a period expiring (unless previously renewed, varied or revoked by Akari prior to or on that date) five years after the date on which this resolution is passed save that Akari may, before such expiry, make an offer or agreement which would or might require shares to be allotted after such expiry and the directors may allot shares in pursuance of any such offer or agreement notwithstanding that the power conferred by this resolution has expired.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4"/>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1A1A1A"/>
                <w:w w:val="96"/>
              </w:rPr>
              <w:t>For</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1A1A1A"/>
              </w:rPr>
              <w:t>Against</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1A1A1A"/>
              </w:rPr>
              <w:t>Abstain</w:t>
            </w:r>
          </w:p>
        </w:tc>
      </w:tr>
      <w:tr>
        <w:trPr>
          <w:trHeight w:val="60"/>
        </w:trPr>
        <w:tc>
          <w:tcPr>
            <w:tcW w:w="198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271"/>
        </w:trPr>
        <w:tc>
          <w:tcPr>
            <w:tcW w:w="1980" w:type="dxa"/>
            <w:vAlign w:val="bottom"/>
            <w:tcBorders>
              <w:right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2B2B2B"/>
              </w:rPr>
              <w:t>40,604,284,229</w:t>
            </w:r>
          </w:p>
        </w:tc>
        <w:tc>
          <w:tcPr>
            <w:tcW w:w="1900" w:type="dxa"/>
            <w:vAlign w:val="bottom"/>
            <w:tcBorders>
              <w:right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1A1A1A"/>
              </w:rPr>
              <w:t>204,784,000</w:t>
            </w:r>
          </w:p>
        </w:tc>
        <w:tc>
          <w:tcPr>
            <w:tcW w:w="164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2B2B2B"/>
              </w:rPr>
              <w:t>669,383,000</w:t>
            </w:r>
          </w:p>
        </w:tc>
      </w:tr>
      <w:tr>
        <w:trPr>
          <w:trHeight w:val="2679"/>
        </w:trPr>
        <w:tc>
          <w:tcPr>
            <w:tcW w:w="19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5660" w:space="60"/>
            <w:col w:w="5520"/>
          </w:cols>
          <w:pgMar w:left="320" w:top="1412" w:right="33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568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FF"/>
              </w:rPr>
              <w:t>Amendment No. 2 to the Akari Therapeutics, PLC 2023 Equity Incentive Plan</w:t>
            </w:r>
          </w:p>
        </w:tc>
        <w:tc>
          <w:tcPr>
            <w:tcW w:w="4080" w:type="dxa"/>
            <w:vAlign w:val="bottom"/>
          </w:tcPr>
          <w:p>
            <w:pPr>
              <w:spacing w:after="0"/>
              <w:rPr>
                <w:sz w:val="16"/>
                <w:szCs w:val="16"/>
                <w:color w:val="auto"/>
              </w:rPr>
            </w:pPr>
          </w:p>
        </w:tc>
      </w:tr>
      <w:tr>
        <w:trPr>
          <w:trHeight w:val="23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1627"/>
        </w:trPr>
        <w:tc>
          <w:tcPr>
            <w:tcW w:w="148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200" w:lineRule="exact"/>
        <w:rPr>
          <w:sz w:val="20"/>
          <w:szCs w:val="20"/>
          <w:color w:val="auto"/>
        </w:rPr>
      </w:pPr>
    </w:p>
    <w:p>
      <w:pPr>
        <w:spacing w:after="0" w:line="218"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Date: July 1, 2025</w:t>
      </w:r>
      <w:r>
        <w:rPr>
          <w:sz w:val="20"/>
          <w:szCs w:val="20"/>
          <w:color w:val="auto"/>
        </w:rPr>
        <w:tab/>
      </w:r>
      <w:r>
        <w:rPr>
          <w:rFonts w:ascii="Times New Roman" w:cs="Times New Roman" w:eastAsia="Times New Roman" w:hAnsi="Times New Roman"/>
          <w:sz w:val="18"/>
          <w:szCs w:val="18"/>
          <w:color w:val="auto"/>
        </w:rPr>
        <w:t>By:  /s/ Torsten Hombeck</w:t>
      </w:r>
    </w:p>
    <w:p>
      <w:pPr>
        <w:spacing w:after="0" w:line="7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Torsten Hombeck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4269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1094740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20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WHEREAS, Akari Therapeutics, plc (the “Company”) maintains the Akari Therapeutics, plc 2023 Equity Incentive Plan (the “Plan”) which was previously adopted by the Board of Directors of the Company (the “Board”) and approved by the Company’s shareholders;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WHEREAS, the Board believes that the number of shares of Common Stock (as defined in the Plan) remaining available for issuance under the Plan has become insufficient for the Company’s anticipated future needs under the Plan;</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WHEREAS, the Board has determined that it is advisable and in the best interest of the Company and its stockholders to amend the Plan to increase the aggregate number of shares of Common Stock reserved for issuance under the Plan by 11,026,000,000 shares;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WHEREAS, Section 16 of the Plan provides that the Administrator (as defined in the Plan) may amend the Plan at any time, subject to certain conditions set forth therein; and</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WHEREAS, this Amendment will become effective upon approval by the Company’s shareholders at the Company’s next general meeting and if, for any reason, the Company’s shareholders fail to approve this Amendment, the existing Plan shall continue in full force and effect.</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NOW, THEREFORE, the Plan is amended as follows:</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 The first paragraph of Section 3 of the Plan is hereby deleted in its entirety and replaced with the following:</w:t>
      </w:r>
    </w:p>
    <w:p>
      <w:pPr>
        <w:spacing w:after="0" w:line="225" w:lineRule="exact"/>
        <w:rPr>
          <w:sz w:val="20"/>
          <w:szCs w:val="20"/>
          <w:color w:val="auto"/>
        </w:rPr>
      </w:pPr>
    </w:p>
    <w:p>
      <w:pPr>
        <w:jc w:val="both"/>
        <w:ind w:left="1660"/>
        <w:spacing w:after="0" w:line="255" w:lineRule="auto"/>
        <w:rPr>
          <w:sz w:val="20"/>
          <w:szCs w:val="20"/>
          <w:color w:val="auto"/>
        </w:rPr>
      </w:pPr>
      <w:r>
        <w:rPr>
          <w:rFonts w:ascii="Times New Roman" w:cs="Times New Roman" w:eastAsia="Times New Roman" w:hAnsi="Times New Roman"/>
          <w:sz w:val="18"/>
          <w:szCs w:val="18"/>
          <w:color w:val="auto"/>
        </w:rPr>
        <w:t>“The number of Shares as to which Stock Rights (including ISOs) may be issued from time to time pursuant to this Plan shall be the sum of: (i) 19,806,000,000 shares of Common Stock and (ii) any shares of Common Stock that are represented by awards granted under the Company’s 2014 Stock Option Plan that are forfeited, expire or are cancelled without delivery of shares of Common Stock or which result in the forfeiture of shares of Common Stock back to the Company on or after June 30, 2023, or the equivalent of such number of Shares after the Administrator, in its sole discretion, has interpreted the effect of any stock split, stock dividend, combination, recapitalization or similar transaction in accordance with Paragraph 22 of this Plan; provided, however, that no more than 855,637,300 Shares shall be added to the Plan pursuant to subsection (ii).”</w:t>
      </w:r>
    </w:p>
    <w:p>
      <w:pPr>
        <w:spacing w:after="0" w:line="189" w:lineRule="exact"/>
        <w:rPr>
          <w:sz w:val="20"/>
          <w:szCs w:val="20"/>
          <w:color w:val="auto"/>
        </w:rPr>
      </w:pPr>
    </w:p>
    <w:p>
      <w:pPr>
        <w:ind w:firstLine="1154"/>
        <w:spacing w:after="0" w:line="282" w:lineRule="auto"/>
        <w:tabs>
          <w:tab w:leader="none" w:pos="13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of Amendment. This Amendment to the Plan shall become effective upon the date that it is approved by the Company’s shareholders in accordance with applicable laws and regulations.</w:t>
      </w:r>
    </w:p>
    <w:p>
      <w:pPr>
        <w:spacing w:after="0" w:line="161" w:lineRule="exact"/>
        <w:rPr>
          <w:rFonts w:ascii="Times New Roman" w:cs="Times New Roman" w:eastAsia="Times New Roman" w:hAnsi="Times New Roman"/>
          <w:sz w:val="18"/>
          <w:szCs w:val="18"/>
          <w:color w:val="auto"/>
        </w:rPr>
      </w:pPr>
    </w:p>
    <w:p>
      <w:pPr>
        <w:ind w:left="1340" w:hanging="186"/>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Provisions. Except as set forth above, all other provisions of the Plan shall remain unchanged.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approval by the Board of Directors: May 22,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approval by the Shareholders: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2025-07-01T16:36:34Z</dcterms:created>
  <dcterms:modified xsi:type="dcterms:W3CDTF">2025-07-01T16:36:34Z</dcterms:modified>
</cp:coreProperties>
</file>